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332BD6" w14:textId="77777777" w:rsidR="00C64B1B" w:rsidRPr="00791BDB" w:rsidRDefault="00C64B1B" w:rsidP="00C64B1B">
      <w:pPr>
        <w:jc w:val="center"/>
        <w:rPr>
          <w:rFonts w:asciiTheme="minorHAnsi" w:hAnsiTheme="minorHAnsi" w:cstheme="minorHAnsi"/>
        </w:rPr>
      </w:pPr>
    </w:p>
    <w:tbl>
      <w:tblPr>
        <w:tblW w:w="15761"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3"/>
        <w:gridCol w:w="771"/>
        <w:gridCol w:w="1318"/>
        <w:gridCol w:w="4577"/>
        <w:gridCol w:w="4961"/>
        <w:gridCol w:w="1701"/>
        <w:gridCol w:w="1900"/>
      </w:tblGrid>
      <w:tr w:rsidR="004E0927" w:rsidRPr="004E0927" w14:paraId="18F1A24D" w14:textId="77777777" w:rsidTr="003A0B1E">
        <w:tc>
          <w:tcPr>
            <w:tcW w:w="13861" w:type="dxa"/>
            <w:gridSpan w:val="6"/>
            <w:shd w:val="clear" w:color="auto" w:fill="auto"/>
            <w:vAlign w:val="center"/>
          </w:tcPr>
          <w:p w14:paraId="69259FEF" w14:textId="77777777" w:rsidR="004E0927" w:rsidRPr="004E0927" w:rsidRDefault="004E0927" w:rsidP="00B871B6">
            <w:pPr>
              <w:spacing w:before="120" w:after="120"/>
              <w:rPr>
                <w:rFonts w:asciiTheme="minorHAnsi" w:hAnsiTheme="minorHAnsi" w:cstheme="minorHAnsi"/>
                <w:b/>
                <w:i/>
                <w:sz w:val="20"/>
                <w:szCs w:val="20"/>
              </w:rPr>
            </w:pPr>
            <w:r w:rsidRPr="004E0927">
              <w:rPr>
                <w:rFonts w:asciiTheme="minorHAnsi" w:hAnsiTheme="minorHAnsi" w:cstheme="minorHAnsi"/>
                <w:b/>
                <w:i/>
                <w:sz w:val="20"/>
                <w:szCs w:val="20"/>
              </w:rPr>
              <w:t>Nazwa dokumentu:</w:t>
            </w:r>
          </w:p>
          <w:p w14:paraId="637582F1" w14:textId="77777777" w:rsidR="004E0927" w:rsidRPr="004E0927" w:rsidRDefault="004E0927" w:rsidP="00734792">
            <w:pPr>
              <w:spacing w:before="120" w:after="120"/>
              <w:rPr>
                <w:rFonts w:asciiTheme="minorHAnsi" w:hAnsiTheme="minorHAnsi" w:cstheme="minorHAnsi"/>
                <w:b/>
                <w:i/>
                <w:sz w:val="20"/>
                <w:szCs w:val="20"/>
              </w:rPr>
            </w:pPr>
            <w:r w:rsidRPr="004E0927">
              <w:rPr>
                <w:rFonts w:asciiTheme="minorHAnsi" w:hAnsiTheme="minorHAnsi" w:cstheme="minorHAnsi"/>
                <w:b/>
                <w:i/>
                <w:sz w:val="20"/>
                <w:szCs w:val="20"/>
              </w:rPr>
              <w:t>Projekt uchwały Rady Ministrów w sprawie przyjęcia programu Fundusze Europejskie dla Nowoczesnej Gospodarki 2021 - 2027</w:t>
            </w:r>
          </w:p>
        </w:tc>
        <w:tc>
          <w:tcPr>
            <w:tcW w:w="1900" w:type="dxa"/>
          </w:tcPr>
          <w:p w14:paraId="2E2D3FB4" w14:textId="77777777" w:rsidR="004E0927" w:rsidRPr="004E0927" w:rsidRDefault="004E0927" w:rsidP="00B871B6">
            <w:pPr>
              <w:spacing w:before="120" w:after="120"/>
              <w:rPr>
                <w:rFonts w:asciiTheme="minorHAnsi" w:hAnsiTheme="minorHAnsi" w:cstheme="minorHAnsi"/>
                <w:b/>
                <w:i/>
                <w:sz w:val="20"/>
                <w:szCs w:val="20"/>
              </w:rPr>
            </w:pPr>
          </w:p>
        </w:tc>
      </w:tr>
      <w:tr w:rsidR="00AD0C0D" w:rsidRPr="004E0927" w14:paraId="3ECC614F" w14:textId="77777777" w:rsidTr="003A0B1E">
        <w:tc>
          <w:tcPr>
            <w:tcW w:w="533" w:type="dxa"/>
            <w:shd w:val="clear" w:color="auto" w:fill="auto"/>
            <w:vAlign w:val="center"/>
          </w:tcPr>
          <w:p w14:paraId="08EC2983" w14:textId="77777777" w:rsidR="004E0927" w:rsidRPr="004E0927" w:rsidRDefault="004E0927" w:rsidP="004D086F">
            <w:pPr>
              <w:jc w:val="center"/>
              <w:rPr>
                <w:rFonts w:asciiTheme="minorHAnsi" w:hAnsiTheme="minorHAnsi" w:cstheme="minorHAnsi"/>
                <w:b/>
                <w:sz w:val="20"/>
                <w:szCs w:val="20"/>
              </w:rPr>
            </w:pPr>
            <w:r w:rsidRPr="004E0927">
              <w:rPr>
                <w:rFonts w:asciiTheme="minorHAnsi" w:hAnsiTheme="minorHAnsi" w:cstheme="minorHAnsi"/>
                <w:b/>
                <w:sz w:val="20"/>
                <w:szCs w:val="20"/>
              </w:rPr>
              <w:t>Lp.</w:t>
            </w:r>
          </w:p>
        </w:tc>
        <w:tc>
          <w:tcPr>
            <w:tcW w:w="771" w:type="dxa"/>
            <w:shd w:val="clear" w:color="auto" w:fill="auto"/>
            <w:vAlign w:val="center"/>
          </w:tcPr>
          <w:p w14:paraId="67012948" w14:textId="77777777" w:rsidR="004E0927" w:rsidRPr="004E0927" w:rsidRDefault="004E0927" w:rsidP="004D086F">
            <w:pPr>
              <w:jc w:val="center"/>
              <w:rPr>
                <w:rFonts w:asciiTheme="minorHAnsi" w:hAnsiTheme="minorHAnsi" w:cstheme="minorHAnsi"/>
                <w:b/>
                <w:sz w:val="20"/>
                <w:szCs w:val="20"/>
              </w:rPr>
            </w:pPr>
            <w:r w:rsidRPr="004E0927">
              <w:rPr>
                <w:rFonts w:asciiTheme="minorHAnsi" w:hAnsiTheme="minorHAnsi" w:cstheme="minorHAnsi"/>
                <w:b/>
                <w:sz w:val="20"/>
                <w:szCs w:val="20"/>
              </w:rPr>
              <w:t>Organ wnoszący uwagi</w:t>
            </w:r>
          </w:p>
        </w:tc>
        <w:tc>
          <w:tcPr>
            <w:tcW w:w="1318" w:type="dxa"/>
            <w:shd w:val="clear" w:color="auto" w:fill="auto"/>
            <w:vAlign w:val="center"/>
          </w:tcPr>
          <w:p w14:paraId="32998CD1" w14:textId="77777777" w:rsidR="004E0927" w:rsidRPr="004E0927" w:rsidRDefault="004E0927" w:rsidP="004D086F">
            <w:pPr>
              <w:jc w:val="center"/>
              <w:rPr>
                <w:rFonts w:asciiTheme="minorHAnsi" w:hAnsiTheme="minorHAnsi" w:cstheme="minorHAnsi"/>
                <w:b/>
                <w:sz w:val="20"/>
                <w:szCs w:val="20"/>
              </w:rPr>
            </w:pPr>
            <w:r w:rsidRPr="004E0927">
              <w:rPr>
                <w:rFonts w:asciiTheme="minorHAnsi" w:hAnsiTheme="minorHAnsi" w:cstheme="minorHAnsi"/>
                <w:b/>
                <w:sz w:val="20"/>
                <w:szCs w:val="20"/>
              </w:rPr>
              <w:t>Jednostka redakcyjna, do której wnoszone są uwagi</w:t>
            </w:r>
          </w:p>
        </w:tc>
        <w:tc>
          <w:tcPr>
            <w:tcW w:w="4577" w:type="dxa"/>
            <w:shd w:val="clear" w:color="auto" w:fill="auto"/>
            <w:vAlign w:val="center"/>
          </w:tcPr>
          <w:p w14:paraId="47BC09B6" w14:textId="77777777" w:rsidR="004E0927" w:rsidRPr="004E0927" w:rsidRDefault="004E0927" w:rsidP="004D086F">
            <w:pPr>
              <w:jc w:val="center"/>
              <w:rPr>
                <w:rFonts w:asciiTheme="minorHAnsi" w:hAnsiTheme="minorHAnsi" w:cstheme="minorHAnsi"/>
                <w:b/>
                <w:sz w:val="20"/>
                <w:szCs w:val="20"/>
              </w:rPr>
            </w:pPr>
            <w:r w:rsidRPr="004E0927">
              <w:rPr>
                <w:rFonts w:asciiTheme="minorHAnsi" w:hAnsiTheme="minorHAnsi" w:cstheme="minorHAnsi"/>
                <w:b/>
                <w:sz w:val="20"/>
                <w:szCs w:val="20"/>
              </w:rPr>
              <w:t>Treść uwagi</w:t>
            </w:r>
          </w:p>
        </w:tc>
        <w:tc>
          <w:tcPr>
            <w:tcW w:w="4961" w:type="dxa"/>
            <w:shd w:val="clear" w:color="auto" w:fill="auto"/>
            <w:vAlign w:val="center"/>
          </w:tcPr>
          <w:p w14:paraId="13CD7884" w14:textId="77777777" w:rsidR="004E0927" w:rsidRPr="004E0927" w:rsidRDefault="004E0927" w:rsidP="004D086F">
            <w:pPr>
              <w:jc w:val="center"/>
              <w:rPr>
                <w:rFonts w:asciiTheme="minorHAnsi" w:hAnsiTheme="minorHAnsi" w:cstheme="minorHAnsi"/>
                <w:b/>
                <w:sz w:val="20"/>
                <w:szCs w:val="20"/>
              </w:rPr>
            </w:pPr>
            <w:r w:rsidRPr="004E0927">
              <w:rPr>
                <w:rFonts w:asciiTheme="minorHAnsi" w:hAnsiTheme="minorHAnsi" w:cstheme="minorHAnsi"/>
                <w:b/>
                <w:sz w:val="20"/>
                <w:szCs w:val="20"/>
              </w:rPr>
              <w:t>Propozycja zmian zapisu</w:t>
            </w:r>
          </w:p>
        </w:tc>
        <w:tc>
          <w:tcPr>
            <w:tcW w:w="1701" w:type="dxa"/>
            <w:vAlign w:val="center"/>
          </w:tcPr>
          <w:p w14:paraId="4C951AEC" w14:textId="77777777" w:rsidR="004E0927" w:rsidRPr="004E0927" w:rsidRDefault="004E0927" w:rsidP="00A06425">
            <w:pPr>
              <w:jc w:val="center"/>
              <w:rPr>
                <w:rFonts w:asciiTheme="minorHAnsi" w:hAnsiTheme="minorHAnsi" w:cstheme="minorHAnsi"/>
                <w:b/>
                <w:sz w:val="20"/>
                <w:szCs w:val="20"/>
              </w:rPr>
            </w:pPr>
            <w:r w:rsidRPr="004E0927">
              <w:rPr>
                <w:rFonts w:asciiTheme="minorHAnsi" w:hAnsiTheme="minorHAnsi" w:cstheme="minorHAnsi"/>
                <w:b/>
                <w:sz w:val="20"/>
                <w:szCs w:val="20"/>
              </w:rPr>
              <w:t>Odniesienie do uwagi</w:t>
            </w:r>
          </w:p>
        </w:tc>
        <w:tc>
          <w:tcPr>
            <w:tcW w:w="1900" w:type="dxa"/>
            <w:vAlign w:val="center"/>
          </w:tcPr>
          <w:p w14:paraId="0F36A7B4" w14:textId="77777777" w:rsidR="004E0927" w:rsidRPr="004E0927" w:rsidRDefault="00877A97" w:rsidP="00877A97">
            <w:pPr>
              <w:jc w:val="center"/>
              <w:rPr>
                <w:rFonts w:asciiTheme="minorHAnsi" w:hAnsiTheme="minorHAnsi" w:cstheme="minorHAnsi"/>
                <w:b/>
                <w:sz w:val="20"/>
                <w:szCs w:val="20"/>
              </w:rPr>
            </w:pPr>
            <w:r w:rsidRPr="00877A97">
              <w:rPr>
                <w:rFonts w:asciiTheme="minorHAnsi" w:hAnsiTheme="minorHAnsi" w:cstheme="minorHAnsi"/>
                <w:b/>
                <w:sz w:val="20"/>
                <w:szCs w:val="20"/>
              </w:rPr>
              <w:t>Uzasadnienie stanowiska</w:t>
            </w:r>
            <w:r>
              <w:rPr>
                <w:rFonts w:asciiTheme="minorHAnsi" w:hAnsiTheme="minorHAnsi" w:cstheme="minorHAnsi"/>
                <w:b/>
                <w:sz w:val="20"/>
                <w:szCs w:val="20"/>
              </w:rPr>
              <w:t xml:space="preserve"> </w:t>
            </w:r>
          </w:p>
        </w:tc>
      </w:tr>
      <w:tr w:rsidR="00AD0C0D" w:rsidRPr="004E0927" w14:paraId="2E53B0DC" w14:textId="77777777" w:rsidTr="003A0B1E">
        <w:tc>
          <w:tcPr>
            <w:tcW w:w="533" w:type="dxa"/>
            <w:shd w:val="clear" w:color="auto" w:fill="auto"/>
            <w:vAlign w:val="center"/>
          </w:tcPr>
          <w:p w14:paraId="41BDE107" w14:textId="77777777" w:rsidR="004E0927" w:rsidRPr="004E0927" w:rsidRDefault="004E0927" w:rsidP="00DD331D">
            <w:pPr>
              <w:pStyle w:val="Akapitzlist"/>
              <w:numPr>
                <w:ilvl w:val="0"/>
                <w:numId w:val="3"/>
              </w:numPr>
              <w:spacing w:before="120" w:after="120"/>
              <w:rPr>
                <w:rFonts w:asciiTheme="minorHAnsi" w:hAnsiTheme="minorHAnsi" w:cstheme="minorHAnsi"/>
                <w:b/>
                <w:sz w:val="20"/>
                <w:szCs w:val="20"/>
              </w:rPr>
            </w:pPr>
          </w:p>
        </w:tc>
        <w:tc>
          <w:tcPr>
            <w:tcW w:w="771" w:type="dxa"/>
            <w:shd w:val="clear" w:color="auto" w:fill="auto"/>
            <w:vAlign w:val="center"/>
          </w:tcPr>
          <w:p w14:paraId="2C6E8E67" w14:textId="77777777" w:rsidR="004E0927" w:rsidRPr="004E0927" w:rsidRDefault="004E0927" w:rsidP="001F4962">
            <w:pPr>
              <w:spacing w:before="60" w:after="60"/>
              <w:jc w:val="center"/>
              <w:rPr>
                <w:rFonts w:asciiTheme="minorHAnsi" w:hAnsiTheme="minorHAnsi" w:cstheme="minorHAnsi"/>
                <w:b/>
                <w:sz w:val="20"/>
                <w:szCs w:val="20"/>
              </w:rPr>
            </w:pPr>
            <w:proofErr w:type="spellStart"/>
            <w:r w:rsidRPr="004E0927">
              <w:rPr>
                <w:rFonts w:asciiTheme="minorHAnsi" w:hAnsiTheme="minorHAnsi" w:cstheme="minorHAnsi"/>
                <w:b/>
                <w:sz w:val="20"/>
                <w:szCs w:val="20"/>
              </w:rPr>
              <w:t>MEiN</w:t>
            </w:r>
            <w:proofErr w:type="spellEnd"/>
          </w:p>
        </w:tc>
        <w:tc>
          <w:tcPr>
            <w:tcW w:w="1318" w:type="dxa"/>
            <w:shd w:val="clear" w:color="auto" w:fill="auto"/>
          </w:tcPr>
          <w:p w14:paraId="2859DC7D" w14:textId="77777777" w:rsidR="004E0927" w:rsidRPr="004E0927" w:rsidRDefault="004E0927" w:rsidP="004D086F">
            <w:pPr>
              <w:jc w:val="center"/>
              <w:rPr>
                <w:rFonts w:asciiTheme="minorHAnsi" w:hAnsiTheme="minorHAnsi" w:cstheme="minorHAnsi"/>
                <w:sz w:val="20"/>
                <w:szCs w:val="20"/>
              </w:rPr>
            </w:pPr>
            <w:r w:rsidRPr="004E0927">
              <w:rPr>
                <w:rFonts w:asciiTheme="minorHAnsi" w:hAnsiTheme="minorHAnsi" w:cstheme="minorHAnsi"/>
                <w:sz w:val="20"/>
                <w:szCs w:val="20"/>
              </w:rPr>
              <w:t>Wyzwania związane z cyfryzacją, gospodarką 4.0, str. 4/5</w:t>
            </w:r>
          </w:p>
        </w:tc>
        <w:tc>
          <w:tcPr>
            <w:tcW w:w="4577" w:type="dxa"/>
            <w:shd w:val="clear" w:color="auto" w:fill="auto"/>
          </w:tcPr>
          <w:p w14:paraId="1A6C5D70" w14:textId="77777777" w:rsidR="004E0927" w:rsidRPr="004E0927" w:rsidRDefault="004E0927" w:rsidP="0095289B">
            <w:pPr>
              <w:jc w:val="both"/>
              <w:rPr>
                <w:rFonts w:asciiTheme="minorHAnsi" w:hAnsiTheme="minorHAnsi" w:cstheme="minorHAnsi"/>
                <w:sz w:val="20"/>
                <w:szCs w:val="20"/>
              </w:rPr>
            </w:pPr>
            <w:r w:rsidRPr="004E0927">
              <w:rPr>
                <w:rFonts w:asciiTheme="minorHAnsi" w:hAnsiTheme="minorHAnsi" w:cstheme="minorHAnsi"/>
                <w:sz w:val="20"/>
                <w:szCs w:val="20"/>
              </w:rPr>
              <w:t>Istotnym wyzwaniem związanym z gospodarką jest też ciągły niedobór i zagrożenie odpływem wysoko wyspecjalizowanych ekspertów za granicę. Również zachęcanie i wspieranie współpracy nauki z przemysłem jest jedną z metod aktywizacji przedsiębiorstw w obszarze innowacyjności i nowych technologii.</w:t>
            </w:r>
          </w:p>
        </w:tc>
        <w:tc>
          <w:tcPr>
            <w:tcW w:w="4961" w:type="dxa"/>
            <w:shd w:val="clear" w:color="auto" w:fill="auto"/>
          </w:tcPr>
          <w:p w14:paraId="4A4943BD" w14:textId="77777777" w:rsidR="004E0927" w:rsidRPr="004E0927" w:rsidRDefault="004E0927" w:rsidP="0095289B">
            <w:pPr>
              <w:jc w:val="both"/>
              <w:rPr>
                <w:rFonts w:asciiTheme="minorHAnsi" w:hAnsiTheme="minorHAnsi" w:cstheme="minorHAnsi"/>
                <w:sz w:val="20"/>
                <w:szCs w:val="20"/>
              </w:rPr>
            </w:pPr>
            <w:r w:rsidRPr="004E0927">
              <w:rPr>
                <w:rFonts w:asciiTheme="minorHAnsi" w:hAnsiTheme="minorHAnsi" w:cstheme="minorHAnsi"/>
                <w:sz w:val="20"/>
                <w:szCs w:val="20"/>
              </w:rPr>
              <w:t>Proponujemy na końcu omawianego fragmentu dodać zapis:</w:t>
            </w:r>
          </w:p>
          <w:p w14:paraId="77B89062" w14:textId="77777777" w:rsidR="004E0927" w:rsidRPr="004E0927" w:rsidRDefault="004E0927" w:rsidP="0095289B">
            <w:pPr>
              <w:jc w:val="both"/>
              <w:rPr>
                <w:rFonts w:asciiTheme="minorHAnsi" w:hAnsiTheme="minorHAnsi" w:cstheme="minorHAnsi"/>
                <w:i/>
                <w:sz w:val="20"/>
                <w:szCs w:val="20"/>
              </w:rPr>
            </w:pPr>
            <w:r w:rsidRPr="00C35D49">
              <w:rPr>
                <w:rFonts w:asciiTheme="minorHAnsi" w:hAnsiTheme="minorHAnsi" w:cstheme="minorHAnsi"/>
                <w:i/>
                <w:sz w:val="20"/>
                <w:szCs w:val="20"/>
              </w:rPr>
              <w:t>„Polityka…” zwraca również uwagę na potrzebę przyciągania i zatrzymywania talentów w kraju, co jest warunkiem efektywnego rozwoju gospodarki opartej na danych.</w:t>
            </w:r>
            <w:r w:rsidRPr="004E0927">
              <w:rPr>
                <w:rFonts w:asciiTheme="minorHAnsi" w:hAnsiTheme="minorHAnsi" w:cstheme="minorHAnsi"/>
                <w:i/>
                <w:sz w:val="20"/>
                <w:szCs w:val="20"/>
              </w:rPr>
              <w:t xml:space="preserve"> Osobno należy zwrócić uwagę na konieczność zacieśniania współpracy nauki i przemysłu, co jest realizowane np. w ramach programu Doktoraty Wdrożeniowe.</w:t>
            </w:r>
          </w:p>
        </w:tc>
        <w:tc>
          <w:tcPr>
            <w:tcW w:w="1701" w:type="dxa"/>
          </w:tcPr>
          <w:p w14:paraId="7E8800ED" w14:textId="77777777" w:rsidR="004E0927" w:rsidRPr="004E0927" w:rsidRDefault="00066816" w:rsidP="004D086F">
            <w:pPr>
              <w:jc w:val="center"/>
              <w:rPr>
                <w:rFonts w:asciiTheme="minorHAnsi" w:hAnsiTheme="minorHAnsi" w:cstheme="minorHAnsi"/>
                <w:sz w:val="20"/>
                <w:szCs w:val="20"/>
              </w:rPr>
            </w:pPr>
            <w:r>
              <w:rPr>
                <w:rFonts w:asciiTheme="minorHAnsi" w:hAnsiTheme="minorHAnsi" w:cstheme="minorHAnsi"/>
                <w:sz w:val="20"/>
                <w:szCs w:val="20"/>
              </w:rPr>
              <w:t>Częściowo uwzględniona</w:t>
            </w:r>
          </w:p>
        </w:tc>
        <w:tc>
          <w:tcPr>
            <w:tcW w:w="1900" w:type="dxa"/>
          </w:tcPr>
          <w:p w14:paraId="0905DB86" w14:textId="2ED5EB86" w:rsidR="00D1733C" w:rsidRDefault="00D1733C" w:rsidP="00066816">
            <w:pPr>
              <w:jc w:val="both"/>
              <w:rPr>
                <w:rFonts w:asciiTheme="minorHAnsi" w:hAnsiTheme="minorHAnsi" w:cstheme="minorHAnsi"/>
                <w:sz w:val="20"/>
                <w:szCs w:val="20"/>
              </w:rPr>
            </w:pPr>
            <w:r>
              <w:rPr>
                <w:rFonts w:asciiTheme="minorHAnsi" w:hAnsiTheme="minorHAnsi" w:cstheme="minorHAnsi"/>
                <w:sz w:val="20"/>
                <w:szCs w:val="20"/>
              </w:rPr>
              <w:t xml:space="preserve">Uwzględniono uwagę i w treści programu wprowadzono </w:t>
            </w:r>
            <w:r w:rsidR="00066816">
              <w:rPr>
                <w:rFonts w:asciiTheme="minorHAnsi" w:hAnsiTheme="minorHAnsi" w:cstheme="minorHAnsi"/>
                <w:sz w:val="20"/>
                <w:szCs w:val="20"/>
              </w:rPr>
              <w:t xml:space="preserve"> zapis dotyczący </w:t>
            </w:r>
            <w:r w:rsidR="00066816" w:rsidRPr="00066816">
              <w:rPr>
                <w:rFonts w:asciiTheme="minorHAnsi" w:hAnsiTheme="minorHAnsi" w:cstheme="minorHAnsi"/>
                <w:sz w:val="20"/>
                <w:szCs w:val="20"/>
              </w:rPr>
              <w:t xml:space="preserve">przyciągania </w:t>
            </w:r>
            <w:r>
              <w:rPr>
                <w:rFonts w:asciiTheme="minorHAnsi" w:hAnsiTheme="minorHAnsi" w:cstheme="minorHAnsi"/>
                <w:sz w:val="20"/>
                <w:szCs w:val="20"/>
              </w:rPr>
              <w:br/>
            </w:r>
            <w:r w:rsidR="00066816" w:rsidRPr="00066816">
              <w:rPr>
                <w:rFonts w:asciiTheme="minorHAnsi" w:hAnsiTheme="minorHAnsi" w:cstheme="minorHAnsi"/>
                <w:sz w:val="20"/>
                <w:szCs w:val="20"/>
              </w:rPr>
              <w:t>i zatrzymywania talentów w kraju</w:t>
            </w:r>
            <w:r w:rsidR="00066816">
              <w:rPr>
                <w:rFonts w:asciiTheme="minorHAnsi" w:hAnsiTheme="minorHAnsi" w:cstheme="minorHAnsi"/>
                <w:sz w:val="20"/>
                <w:szCs w:val="20"/>
              </w:rPr>
              <w:t>.</w:t>
            </w:r>
          </w:p>
          <w:p w14:paraId="2D35EAA6" w14:textId="77777777" w:rsidR="00D1733C" w:rsidRDefault="00D1733C" w:rsidP="00066816">
            <w:pPr>
              <w:jc w:val="both"/>
              <w:rPr>
                <w:rFonts w:asciiTheme="minorHAnsi" w:hAnsiTheme="minorHAnsi" w:cstheme="minorHAnsi"/>
                <w:sz w:val="20"/>
                <w:szCs w:val="20"/>
              </w:rPr>
            </w:pPr>
          </w:p>
          <w:p w14:paraId="46C5F7FA" w14:textId="77777777" w:rsidR="00D1733C" w:rsidRDefault="00D1733C" w:rsidP="00066816">
            <w:pPr>
              <w:jc w:val="both"/>
              <w:rPr>
                <w:rFonts w:asciiTheme="minorHAnsi" w:hAnsiTheme="minorHAnsi" w:cstheme="minorHAnsi"/>
                <w:sz w:val="20"/>
                <w:szCs w:val="20"/>
              </w:rPr>
            </w:pPr>
          </w:p>
          <w:p w14:paraId="1B809152" w14:textId="4EA3F2E4" w:rsidR="00066816" w:rsidRPr="004E0927" w:rsidRDefault="00D1733C" w:rsidP="003A0B1E">
            <w:pPr>
              <w:jc w:val="both"/>
              <w:rPr>
                <w:rFonts w:asciiTheme="minorHAnsi" w:hAnsiTheme="minorHAnsi" w:cstheme="minorHAnsi"/>
                <w:sz w:val="20"/>
                <w:szCs w:val="20"/>
              </w:rPr>
            </w:pPr>
            <w:r>
              <w:rPr>
                <w:rFonts w:asciiTheme="minorHAnsi" w:hAnsiTheme="minorHAnsi" w:cstheme="minorHAnsi"/>
                <w:sz w:val="20"/>
                <w:szCs w:val="20"/>
              </w:rPr>
              <w:t>Jednocześnie o</w:t>
            </w:r>
            <w:r w:rsidR="00127DE3">
              <w:rPr>
                <w:rFonts w:asciiTheme="minorHAnsi" w:hAnsiTheme="minorHAnsi" w:cstheme="minorHAnsi"/>
                <w:sz w:val="20"/>
                <w:szCs w:val="20"/>
              </w:rPr>
              <w:t xml:space="preserve"> zacieśnieniu współpracy nauki i przemysłu, Doktoratach Wdrożeniowych mowa jest na str. 7 oraz w Diagnozie</w:t>
            </w:r>
            <w:r w:rsidR="00200CDF">
              <w:rPr>
                <w:rFonts w:asciiTheme="minorHAnsi" w:hAnsiTheme="minorHAnsi" w:cstheme="minorHAnsi"/>
                <w:sz w:val="20"/>
                <w:szCs w:val="20"/>
              </w:rPr>
              <w:t xml:space="preserve"> – w celu zachowania przejrzystości dokumentu informacje te nie będą powielane.</w:t>
            </w:r>
          </w:p>
        </w:tc>
      </w:tr>
      <w:tr w:rsidR="00AD0C0D" w:rsidRPr="004E0927" w14:paraId="75E53765" w14:textId="77777777" w:rsidTr="003A0B1E">
        <w:tc>
          <w:tcPr>
            <w:tcW w:w="533" w:type="dxa"/>
            <w:shd w:val="clear" w:color="auto" w:fill="auto"/>
            <w:vAlign w:val="center"/>
          </w:tcPr>
          <w:p w14:paraId="5BB4B8FE" w14:textId="77777777" w:rsidR="004E0927" w:rsidRPr="004E0927" w:rsidRDefault="004E0927" w:rsidP="00DD331D">
            <w:pPr>
              <w:pStyle w:val="Akapitzlist"/>
              <w:numPr>
                <w:ilvl w:val="0"/>
                <w:numId w:val="3"/>
              </w:numPr>
              <w:spacing w:before="120" w:after="120"/>
              <w:jc w:val="center"/>
              <w:rPr>
                <w:rFonts w:asciiTheme="minorHAnsi" w:hAnsiTheme="minorHAnsi" w:cstheme="minorHAnsi"/>
                <w:b/>
                <w:sz w:val="20"/>
                <w:szCs w:val="20"/>
              </w:rPr>
            </w:pPr>
          </w:p>
        </w:tc>
        <w:tc>
          <w:tcPr>
            <w:tcW w:w="771" w:type="dxa"/>
            <w:shd w:val="clear" w:color="auto" w:fill="auto"/>
            <w:vAlign w:val="center"/>
          </w:tcPr>
          <w:p w14:paraId="3F29D6A5" w14:textId="77777777" w:rsidR="004E0927" w:rsidRPr="004E0927" w:rsidRDefault="004E0927" w:rsidP="001F4962">
            <w:pPr>
              <w:spacing w:before="60" w:after="60"/>
              <w:jc w:val="center"/>
              <w:rPr>
                <w:rFonts w:asciiTheme="minorHAnsi" w:hAnsiTheme="minorHAnsi" w:cstheme="minorHAnsi"/>
                <w:b/>
                <w:sz w:val="20"/>
                <w:szCs w:val="20"/>
              </w:rPr>
            </w:pPr>
            <w:proofErr w:type="spellStart"/>
            <w:r w:rsidRPr="004E0927">
              <w:rPr>
                <w:rFonts w:asciiTheme="minorHAnsi" w:hAnsiTheme="minorHAnsi" w:cstheme="minorHAnsi"/>
                <w:b/>
                <w:sz w:val="20"/>
                <w:szCs w:val="20"/>
              </w:rPr>
              <w:t>MEiN</w:t>
            </w:r>
            <w:proofErr w:type="spellEnd"/>
          </w:p>
        </w:tc>
        <w:tc>
          <w:tcPr>
            <w:tcW w:w="1318" w:type="dxa"/>
            <w:shd w:val="clear" w:color="auto" w:fill="auto"/>
          </w:tcPr>
          <w:p w14:paraId="431C40C6" w14:textId="77777777" w:rsidR="004E0927" w:rsidRPr="004E0927" w:rsidRDefault="004E0927" w:rsidP="004D086F">
            <w:pPr>
              <w:jc w:val="center"/>
              <w:rPr>
                <w:rFonts w:asciiTheme="minorHAnsi" w:hAnsiTheme="minorHAnsi" w:cstheme="minorHAnsi"/>
                <w:sz w:val="20"/>
                <w:szCs w:val="20"/>
                <w:lang w:val="en-GB"/>
              </w:rPr>
            </w:pPr>
            <w:proofErr w:type="spellStart"/>
            <w:r w:rsidRPr="004E0927">
              <w:rPr>
                <w:rFonts w:asciiTheme="minorHAnsi" w:hAnsiTheme="minorHAnsi" w:cstheme="minorHAnsi"/>
                <w:sz w:val="20"/>
                <w:szCs w:val="20"/>
                <w:lang w:val="en-GB"/>
              </w:rPr>
              <w:t>Wyzwania</w:t>
            </w:r>
            <w:proofErr w:type="spellEnd"/>
            <w:r w:rsidRPr="004E0927">
              <w:rPr>
                <w:rFonts w:asciiTheme="minorHAnsi" w:hAnsiTheme="minorHAnsi" w:cstheme="minorHAnsi"/>
                <w:sz w:val="20"/>
                <w:szCs w:val="20"/>
                <w:lang w:val="en-GB"/>
              </w:rPr>
              <w:t xml:space="preserve"> </w:t>
            </w:r>
            <w:proofErr w:type="spellStart"/>
            <w:r w:rsidRPr="004E0927">
              <w:rPr>
                <w:rFonts w:asciiTheme="minorHAnsi" w:hAnsiTheme="minorHAnsi" w:cstheme="minorHAnsi"/>
                <w:sz w:val="20"/>
                <w:szCs w:val="20"/>
                <w:lang w:val="en-GB"/>
              </w:rPr>
              <w:t>wskazane</w:t>
            </w:r>
            <w:proofErr w:type="spellEnd"/>
            <w:r w:rsidRPr="004E0927">
              <w:rPr>
                <w:rFonts w:asciiTheme="minorHAnsi" w:hAnsiTheme="minorHAnsi" w:cstheme="minorHAnsi"/>
                <w:sz w:val="20"/>
                <w:szCs w:val="20"/>
                <w:lang w:val="en-GB"/>
              </w:rPr>
              <w:t xml:space="preserve"> w Country Specific Recommendations, str. 6/7</w:t>
            </w:r>
          </w:p>
        </w:tc>
        <w:tc>
          <w:tcPr>
            <w:tcW w:w="4577" w:type="dxa"/>
            <w:shd w:val="clear" w:color="auto" w:fill="auto"/>
          </w:tcPr>
          <w:p w14:paraId="2DEDB4B0" w14:textId="77777777" w:rsidR="004E0927" w:rsidRPr="004E0927" w:rsidRDefault="004E0927" w:rsidP="00091953">
            <w:pPr>
              <w:jc w:val="both"/>
              <w:rPr>
                <w:rFonts w:asciiTheme="minorHAnsi" w:hAnsiTheme="minorHAnsi" w:cstheme="minorHAnsi"/>
                <w:sz w:val="20"/>
                <w:szCs w:val="20"/>
              </w:rPr>
            </w:pPr>
            <w:r w:rsidRPr="004E0927">
              <w:rPr>
                <w:rFonts w:asciiTheme="minorHAnsi" w:hAnsiTheme="minorHAnsi" w:cstheme="minorHAnsi"/>
                <w:sz w:val="20"/>
                <w:szCs w:val="20"/>
              </w:rPr>
              <w:t xml:space="preserve">W projekcie dokumentu warto zwrócić uwagę na już prowadzone działania, mające na celu wspieranie ściślejszej współpracy nauki z przedsiębiorstwami. Przykładem takich działań jest program Doktorat Wdrożeniowy, którego przedmiotem jest tworzenie warunków do rozwoju współpracy podmiotów systemu szkolnictwa wyższego i nauki z otoczeniem </w:t>
            </w:r>
            <w:r w:rsidRPr="004E0927">
              <w:rPr>
                <w:rFonts w:asciiTheme="minorHAnsi" w:hAnsiTheme="minorHAnsi" w:cstheme="minorHAnsi"/>
                <w:sz w:val="20"/>
                <w:szCs w:val="20"/>
              </w:rPr>
              <w:lastRenderedPageBreak/>
              <w:t>społeczno-gospodarczym, prowadzonej w ramach szkół doktorskich i polegającej na kształceniu doktorantów we współpracy z zatrudniającymi ich przedsiębiorcami albo innymi podmiotami, której efektem będzie wdrażanie w tych podmiotach wyników prowadzonej przez doktorantów działalności naukowej.</w:t>
            </w:r>
          </w:p>
        </w:tc>
        <w:tc>
          <w:tcPr>
            <w:tcW w:w="4961" w:type="dxa"/>
            <w:shd w:val="clear" w:color="auto" w:fill="auto"/>
          </w:tcPr>
          <w:p w14:paraId="133985BA" w14:textId="77777777" w:rsidR="004E0927" w:rsidRPr="004E0927" w:rsidRDefault="004E0927" w:rsidP="00091953">
            <w:pPr>
              <w:jc w:val="both"/>
              <w:rPr>
                <w:rFonts w:asciiTheme="minorHAnsi" w:hAnsiTheme="minorHAnsi" w:cstheme="minorHAnsi"/>
                <w:color w:val="FF0000"/>
                <w:sz w:val="20"/>
                <w:szCs w:val="20"/>
              </w:rPr>
            </w:pPr>
            <w:r w:rsidRPr="004E0927">
              <w:rPr>
                <w:rFonts w:asciiTheme="minorHAnsi" w:hAnsiTheme="minorHAnsi" w:cstheme="minorHAnsi"/>
                <w:sz w:val="20"/>
                <w:szCs w:val="20"/>
              </w:rPr>
              <w:lastRenderedPageBreak/>
              <w:t xml:space="preserve">Reforma szkolnictwa wyższego z 2018 r. poprawiła niektóre z warunków działania polskiej nauki, ale tylko częściowo rozwiązuje tak ważne problemy, jak rozdrobnienie sektora badań naukowych, wysokość wynagrodzeń naukowców czy umiędzynarodowienie nauki. W efekcie sformułowane zostało zalecenie aby wzmocnić innowacyjności gospodarki, w tym poprzez </w:t>
            </w:r>
            <w:r w:rsidRPr="004E0927">
              <w:rPr>
                <w:rFonts w:asciiTheme="minorHAnsi" w:hAnsiTheme="minorHAnsi" w:cstheme="minorHAnsi"/>
                <w:sz w:val="20"/>
                <w:szCs w:val="20"/>
              </w:rPr>
              <w:lastRenderedPageBreak/>
              <w:t>wspieranie instytucji badawczych i ich ściślejszej współpracy z przedsiębiorstwami. Zalecenie to jest realizowane m.in. w ramach programu „Doktorat Wdrożeniowy” prowadzonego przez Ministerstwo Edukacji i Nauki.</w:t>
            </w:r>
          </w:p>
        </w:tc>
        <w:tc>
          <w:tcPr>
            <w:tcW w:w="1701" w:type="dxa"/>
          </w:tcPr>
          <w:p w14:paraId="20CBF67B" w14:textId="77777777" w:rsidR="004E0927" w:rsidRPr="004E0927" w:rsidRDefault="003701A8" w:rsidP="004D086F">
            <w:pPr>
              <w:jc w:val="center"/>
              <w:rPr>
                <w:rFonts w:asciiTheme="minorHAnsi" w:hAnsiTheme="minorHAnsi" w:cstheme="minorHAnsi"/>
                <w:sz w:val="20"/>
                <w:szCs w:val="20"/>
              </w:rPr>
            </w:pPr>
            <w:r>
              <w:rPr>
                <w:rFonts w:asciiTheme="minorHAnsi" w:hAnsiTheme="minorHAnsi" w:cstheme="minorHAnsi"/>
                <w:sz w:val="20"/>
                <w:szCs w:val="20"/>
              </w:rPr>
              <w:lastRenderedPageBreak/>
              <w:t>nieuwzględniona</w:t>
            </w:r>
          </w:p>
        </w:tc>
        <w:tc>
          <w:tcPr>
            <w:tcW w:w="1900" w:type="dxa"/>
          </w:tcPr>
          <w:p w14:paraId="4BBB9237" w14:textId="77777777" w:rsidR="004E0927" w:rsidRPr="003701A8" w:rsidRDefault="003701A8" w:rsidP="00D9079F">
            <w:pPr>
              <w:jc w:val="both"/>
              <w:rPr>
                <w:rFonts w:asciiTheme="minorHAnsi" w:hAnsiTheme="minorHAnsi" w:cstheme="minorHAnsi"/>
                <w:sz w:val="20"/>
                <w:szCs w:val="20"/>
              </w:rPr>
            </w:pPr>
            <w:r>
              <w:rPr>
                <w:rFonts w:asciiTheme="minorHAnsi" w:hAnsiTheme="minorHAnsi" w:cstheme="minorHAnsi"/>
                <w:sz w:val="20"/>
                <w:szCs w:val="20"/>
              </w:rPr>
              <w:t xml:space="preserve">Fragment </w:t>
            </w:r>
            <w:r w:rsidRPr="003701A8">
              <w:rPr>
                <w:rFonts w:asciiTheme="minorHAnsi" w:hAnsiTheme="minorHAnsi" w:cstheme="minorHAnsi"/>
                <w:i/>
                <w:sz w:val="20"/>
                <w:szCs w:val="20"/>
              </w:rPr>
              <w:t xml:space="preserve">Wyzwania wskazane w Country </w:t>
            </w:r>
            <w:proofErr w:type="spellStart"/>
            <w:r w:rsidRPr="003701A8">
              <w:rPr>
                <w:rFonts w:asciiTheme="minorHAnsi" w:hAnsiTheme="minorHAnsi" w:cstheme="minorHAnsi"/>
                <w:i/>
                <w:sz w:val="20"/>
                <w:szCs w:val="20"/>
              </w:rPr>
              <w:t>Specific</w:t>
            </w:r>
            <w:proofErr w:type="spellEnd"/>
            <w:r w:rsidRPr="003701A8">
              <w:rPr>
                <w:rFonts w:asciiTheme="minorHAnsi" w:hAnsiTheme="minorHAnsi" w:cstheme="minorHAnsi"/>
                <w:i/>
                <w:sz w:val="20"/>
                <w:szCs w:val="20"/>
              </w:rPr>
              <w:t xml:space="preserve"> </w:t>
            </w:r>
            <w:proofErr w:type="spellStart"/>
            <w:r w:rsidRPr="003701A8">
              <w:rPr>
                <w:rFonts w:asciiTheme="minorHAnsi" w:hAnsiTheme="minorHAnsi" w:cstheme="minorHAnsi"/>
                <w:i/>
                <w:sz w:val="20"/>
                <w:szCs w:val="20"/>
              </w:rPr>
              <w:t>Recommendations</w:t>
            </w:r>
            <w:proofErr w:type="spellEnd"/>
            <w:r>
              <w:rPr>
                <w:rFonts w:asciiTheme="minorHAnsi" w:hAnsiTheme="minorHAnsi" w:cstheme="minorHAnsi"/>
                <w:i/>
                <w:sz w:val="20"/>
                <w:szCs w:val="20"/>
              </w:rPr>
              <w:t xml:space="preserve"> </w:t>
            </w:r>
            <w:r w:rsidR="00D9079F">
              <w:rPr>
                <w:rFonts w:asciiTheme="minorHAnsi" w:hAnsiTheme="minorHAnsi" w:cstheme="minorHAnsi"/>
                <w:sz w:val="20"/>
                <w:szCs w:val="20"/>
              </w:rPr>
              <w:t>przywołuje treść</w:t>
            </w:r>
            <w:r>
              <w:rPr>
                <w:rFonts w:asciiTheme="minorHAnsi" w:hAnsiTheme="minorHAnsi" w:cstheme="minorHAnsi"/>
                <w:sz w:val="20"/>
                <w:szCs w:val="20"/>
              </w:rPr>
              <w:t xml:space="preserve"> </w:t>
            </w:r>
            <w:r w:rsidR="00D9079F" w:rsidRPr="00D9079F">
              <w:rPr>
                <w:rFonts w:asciiTheme="minorHAnsi" w:hAnsiTheme="minorHAnsi" w:cstheme="minorHAnsi"/>
                <w:i/>
                <w:sz w:val="20"/>
                <w:szCs w:val="20"/>
              </w:rPr>
              <w:t>Zaleceń</w:t>
            </w:r>
            <w:r>
              <w:rPr>
                <w:rFonts w:asciiTheme="minorHAnsi" w:hAnsiTheme="minorHAnsi" w:cstheme="minorHAnsi"/>
                <w:sz w:val="20"/>
                <w:szCs w:val="20"/>
              </w:rPr>
              <w:t xml:space="preserve">. </w:t>
            </w:r>
            <w:r w:rsidR="00D9079F">
              <w:rPr>
                <w:rFonts w:asciiTheme="minorHAnsi" w:hAnsiTheme="minorHAnsi" w:cstheme="minorHAnsi"/>
                <w:sz w:val="20"/>
                <w:szCs w:val="20"/>
              </w:rPr>
              <w:t xml:space="preserve">W </w:t>
            </w:r>
            <w:r w:rsidR="00D9079F" w:rsidRPr="00D9079F">
              <w:rPr>
                <w:rFonts w:asciiTheme="minorHAnsi" w:hAnsiTheme="minorHAnsi" w:cstheme="minorHAnsi"/>
                <w:i/>
                <w:sz w:val="20"/>
                <w:szCs w:val="20"/>
              </w:rPr>
              <w:t>Zaleceniach</w:t>
            </w:r>
            <w:r w:rsidR="00D9079F">
              <w:rPr>
                <w:rFonts w:asciiTheme="minorHAnsi" w:hAnsiTheme="minorHAnsi" w:cstheme="minorHAnsi"/>
                <w:sz w:val="20"/>
                <w:szCs w:val="20"/>
              </w:rPr>
              <w:t xml:space="preserve"> </w:t>
            </w:r>
            <w:r w:rsidR="00D9079F">
              <w:rPr>
                <w:rFonts w:asciiTheme="minorHAnsi" w:hAnsiTheme="minorHAnsi" w:cstheme="minorHAnsi"/>
                <w:sz w:val="20"/>
                <w:szCs w:val="20"/>
              </w:rPr>
              <w:lastRenderedPageBreak/>
              <w:t xml:space="preserve">odniesiono się do reformy szkolnictwa z 2018 r., lecz nie wskazano obszaru Doktoratów wdrożeniowych. </w:t>
            </w:r>
          </w:p>
        </w:tc>
      </w:tr>
      <w:tr w:rsidR="00AD0C0D" w:rsidRPr="004E0927" w14:paraId="7D572A9C" w14:textId="77777777" w:rsidTr="003A0B1E">
        <w:tc>
          <w:tcPr>
            <w:tcW w:w="533" w:type="dxa"/>
            <w:shd w:val="clear" w:color="auto" w:fill="auto"/>
            <w:vAlign w:val="center"/>
          </w:tcPr>
          <w:p w14:paraId="758B21B6" w14:textId="77777777" w:rsidR="004E0927" w:rsidRPr="004E0927" w:rsidRDefault="004E0927" w:rsidP="00791BDB">
            <w:pPr>
              <w:pStyle w:val="Akapitzlist"/>
              <w:numPr>
                <w:ilvl w:val="0"/>
                <w:numId w:val="3"/>
              </w:numPr>
              <w:spacing w:before="120" w:after="120"/>
              <w:rPr>
                <w:rFonts w:asciiTheme="minorHAnsi" w:hAnsiTheme="minorHAnsi" w:cstheme="minorHAnsi"/>
                <w:b/>
                <w:sz w:val="20"/>
                <w:szCs w:val="20"/>
              </w:rPr>
            </w:pPr>
          </w:p>
        </w:tc>
        <w:tc>
          <w:tcPr>
            <w:tcW w:w="771" w:type="dxa"/>
            <w:shd w:val="clear" w:color="auto" w:fill="auto"/>
            <w:vAlign w:val="center"/>
          </w:tcPr>
          <w:p w14:paraId="7599456A" w14:textId="77777777" w:rsidR="004E0927" w:rsidRPr="004E0927" w:rsidRDefault="004E0927" w:rsidP="001F4962">
            <w:pPr>
              <w:spacing w:before="60" w:after="60"/>
              <w:jc w:val="center"/>
              <w:rPr>
                <w:rFonts w:asciiTheme="minorHAnsi" w:hAnsiTheme="minorHAnsi" w:cstheme="minorHAnsi"/>
                <w:b/>
                <w:sz w:val="20"/>
                <w:szCs w:val="20"/>
                <w:lang w:val="en-GB"/>
              </w:rPr>
            </w:pPr>
            <w:proofErr w:type="spellStart"/>
            <w:r w:rsidRPr="004E0927">
              <w:rPr>
                <w:rFonts w:asciiTheme="minorHAnsi" w:hAnsiTheme="minorHAnsi" w:cstheme="minorHAnsi"/>
                <w:b/>
                <w:sz w:val="20"/>
                <w:szCs w:val="20"/>
              </w:rPr>
              <w:t>MEiN</w:t>
            </w:r>
            <w:proofErr w:type="spellEnd"/>
          </w:p>
        </w:tc>
        <w:tc>
          <w:tcPr>
            <w:tcW w:w="1318" w:type="dxa"/>
            <w:shd w:val="clear" w:color="auto" w:fill="auto"/>
          </w:tcPr>
          <w:p w14:paraId="1408EEEB" w14:textId="77777777" w:rsidR="004E0927" w:rsidRPr="004E0927" w:rsidRDefault="004E0927" w:rsidP="004D086F">
            <w:pPr>
              <w:jc w:val="center"/>
              <w:rPr>
                <w:rFonts w:asciiTheme="minorHAnsi" w:hAnsiTheme="minorHAnsi" w:cstheme="minorHAnsi"/>
                <w:sz w:val="20"/>
                <w:szCs w:val="20"/>
              </w:rPr>
            </w:pPr>
            <w:r w:rsidRPr="004E0927">
              <w:rPr>
                <w:rFonts w:asciiTheme="minorHAnsi" w:hAnsiTheme="minorHAnsi" w:cstheme="minorHAnsi"/>
                <w:sz w:val="20"/>
                <w:szCs w:val="20"/>
              </w:rPr>
              <w:t xml:space="preserve">Wyzwania wskazane w Country </w:t>
            </w:r>
            <w:proofErr w:type="spellStart"/>
            <w:r w:rsidRPr="004E0927">
              <w:rPr>
                <w:rFonts w:asciiTheme="minorHAnsi" w:hAnsiTheme="minorHAnsi" w:cstheme="minorHAnsi"/>
                <w:sz w:val="20"/>
                <w:szCs w:val="20"/>
              </w:rPr>
              <w:t>Specific</w:t>
            </w:r>
            <w:proofErr w:type="spellEnd"/>
            <w:r w:rsidRPr="004E0927">
              <w:rPr>
                <w:rFonts w:asciiTheme="minorHAnsi" w:hAnsiTheme="minorHAnsi" w:cstheme="minorHAnsi"/>
                <w:sz w:val="20"/>
                <w:szCs w:val="20"/>
              </w:rPr>
              <w:t xml:space="preserve"> </w:t>
            </w:r>
            <w:proofErr w:type="spellStart"/>
            <w:r w:rsidRPr="004E0927">
              <w:rPr>
                <w:rFonts w:asciiTheme="minorHAnsi" w:hAnsiTheme="minorHAnsi" w:cstheme="minorHAnsi"/>
                <w:sz w:val="20"/>
                <w:szCs w:val="20"/>
              </w:rPr>
              <w:t>Recommendations</w:t>
            </w:r>
            <w:proofErr w:type="spellEnd"/>
            <w:r w:rsidRPr="004E0927">
              <w:rPr>
                <w:rFonts w:asciiTheme="minorHAnsi" w:hAnsiTheme="minorHAnsi" w:cstheme="minorHAnsi"/>
                <w:sz w:val="20"/>
                <w:szCs w:val="20"/>
              </w:rPr>
              <w:t xml:space="preserve"> - W obszarze cyfryzacji, str. 7</w:t>
            </w:r>
          </w:p>
        </w:tc>
        <w:tc>
          <w:tcPr>
            <w:tcW w:w="4577" w:type="dxa"/>
            <w:shd w:val="clear" w:color="auto" w:fill="auto"/>
          </w:tcPr>
          <w:p w14:paraId="35C26724" w14:textId="77777777" w:rsidR="004E0927" w:rsidRPr="004E0927" w:rsidRDefault="004E0927" w:rsidP="0095289B">
            <w:pPr>
              <w:jc w:val="both"/>
              <w:rPr>
                <w:rFonts w:asciiTheme="minorHAnsi" w:hAnsiTheme="minorHAnsi" w:cstheme="minorHAnsi"/>
                <w:sz w:val="20"/>
                <w:szCs w:val="20"/>
              </w:rPr>
            </w:pPr>
            <w:r w:rsidRPr="004E0927">
              <w:rPr>
                <w:rFonts w:asciiTheme="minorHAnsi" w:hAnsiTheme="minorHAnsi" w:cstheme="minorHAnsi"/>
                <w:sz w:val="20"/>
                <w:szCs w:val="20"/>
              </w:rPr>
              <w:t xml:space="preserve">Przedmiotowy akapit to jedno, bardzo złożone zdanie długości 7 linijek (indeks FOG 22, co oznacza, że do zrozumienia tekstu potrzeba 22 lat edukacji). Oznacza to, że jest ono bardzo nieprzystępne dla dowolnego odbiorcy. Sugerujemy podzielenie go i uproszczenie języka. Sama treść akapitu również wymaga przeredagowania – nie wskazano CO jest „priorytetową potrzebą inwestycyjną”, a sens gubi się w kolejnych zdaniach podrzędnych. </w:t>
            </w:r>
          </w:p>
        </w:tc>
        <w:tc>
          <w:tcPr>
            <w:tcW w:w="4961" w:type="dxa"/>
            <w:shd w:val="clear" w:color="auto" w:fill="auto"/>
          </w:tcPr>
          <w:p w14:paraId="7DFBABA3" w14:textId="77777777" w:rsidR="004E0927" w:rsidRPr="004E0927" w:rsidRDefault="004E0927" w:rsidP="0095289B">
            <w:pPr>
              <w:jc w:val="both"/>
              <w:rPr>
                <w:rFonts w:asciiTheme="minorHAnsi" w:hAnsiTheme="minorHAnsi" w:cstheme="minorHAnsi"/>
                <w:sz w:val="20"/>
                <w:szCs w:val="20"/>
              </w:rPr>
            </w:pPr>
            <w:r w:rsidRPr="004E0927">
              <w:rPr>
                <w:rFonts w:asciiTheme="minorHAnsi" w:hAnsiTheme="minorHAnsi" w:cstheme="minorHAnsi"/>
                <w:sz w:val="20"/>
                <w:szCs w:val="20"/>
              </w:rPr>
              <w:t>Zaproponowanie dokładnego brzmienia nie jest możliwe bez wiedzy, co jest opisywaną w tym fragmencie „potrzebą inwestycyjną”. Poniżej przedstawiamy, przykład jak mógłby wyglądać przedmiotowy akapit po przeredagowaniu i uproszczeniu (indeks FOG 15). Zaznaczamy, że poniższy zapis nie stanowi finalnej propozycji zmian w tekście. Ostateczne brzmienie tego fragmentu powinno być ustalone przez autorów dokumentu.</w:t>
            </w:r>
          </w:p>
          <w:p w14:paraId="3AF48B12" w14:textId="77777777" w:rsidR="004E0927" w:rsidRPr="004E0927" w:rsidRDefault="004E0927" w:rsidP="0095289B">
            <w:pPr>
              <w:jc w:val="both"/>
              <w:rPr>
                <w:rFonts w:asciiTheme="minorHAnsi" w:hAnsiTheme="minorHAnsi" w:cstheme="minorHAnsi"/>
                <w:i/>
                <w:sz w:val="20"/>
                <w:szCs w:val="20"/>
              </w:rPr>
            </w:pPr>
          </w:p>
          <w:p w14:paraId="5287F8F2" w14:textId="77777777" w:rsidR="004E0927" w:rsidRPr="004E0927" w:rsidRDefault="004E0927" w:rsidP="0095289B">
            <w:pPr>
              <w:jc w:val="both"/>
              <w:rPr>
                <w:rFonts w:asciiTheme="minorHAnsi" w:hAnsiTheme="minorHAnsi" w:cstheme="minorHAnsi"/>
                <w:i/>
                <w:sz w:val="20"/>
                <w:szCs w:val="20"/>
              </w:rPr>
            </w:pPr>
            <w:r w:rsidRPr="004E0927">
              <w:rPr>
                <w:rFonts w:asciiTheme="minorHAnsi" w:hAnsiTheme="minorHAnsi" w:cstheme="minorHAnsi"/>
                <w:i/>
                <w:sz w:val="20"/>
                <w:szCs w:val="20"/>
              </w:rPr>
              <w:t xml:space="preserve">W obszarze cyfryzacji, rekomendacje CSR 2019 podkreślają znaczenie </w:t>
            </w:r>
            <w:r w:rsidRPr="004E0927">
              <w:rPr>
                <w:rFonts w:asciiTheme="minorHAnsi" w:hAnsiTheme="minorHAnsi" w:cstheme="minorHAnsi"/>
                <w:i/>
                <w:color w:val="FF0000"/>
                <w:sz w:val="20"/>
                <w:szCs w:val="20"/>
              </w:rPr>
              <w:t>[do uzupełnienia przez autorów]</w:t>
            </w:r>
            <w:r w:rsidRPr="004E0927">
              <w:rPr>
                <w:rFonts w:asciiTheme="minorHAnsi" w:hAnsiTheme="minorHAnsi" w:cstheme="minorHAnsi"/>
                <w:i/>
                <w:sz w:val="20"/>
                <w:szCs w:val="20"/>
              </w:rPr>
              <w:t>. Jest to priorytetowa potrzeba inwestycyjna, która ma wpływ na umożliwienie obywatelom, przedsiębiorstwom i organom publicznym korzystania z możliwości płynących z cyfryzacji. Może się to odbywać m.in. poprzez wspieranie wdrażania technologii cyfrowych przez małe i średnie przedsiębiorstwa co przełoży się na zwiększenie ich wydajności i efektywności.  Innym przykładem jest promowanie umiejętności cyfrowych, oraz podnoszenia kwalifikacji i przekwalifikowywania, aby wypełnić lukę pomiędzy zapotrzebowaniem na pracowników z dysponujących odpowiednimi umiejętnościami cyfrowymi a ich dostępnością.</w:t>
            </w:r>
          </w:p>
        </w:tc>
        <w:tc>
          <w:tcPr>
            <w:tcW w:w="1701" w:type="dxa"/>
          </w:tcPr>
          <w:p w14:paraId="456639B9" w14:textId="77777777" w:rsidR="004E0927" w:rsidRPr="004E0927" w:rsidRDefault="00D9079F" w:rsidP="004D086F">
            <w:pPr>
              <w:jc w:val="center"/>
              <w:rPr>
                <w:rFonts w:asciiTheme="minorHAnsi" w:hAnsiTheme="minorHAnsi" w:cstheme="minorHAnsi"/>
                <w:sz w:val="20"/>
                <w:szCs w:val="20"/>
              </w:rPr>
            </w:pPr>
            <w:r>
              <w:rPr>
                <w:rFonts w:asciiTheme="minorHAnsi" w:hAnsiTheme="minorHAnsi" w:cstheme="minorHAnsi"/>
                <w:sz w:val="20"/>
                <w:szCs w:val="20"/>
              </w:rPr>
              <w:t>uwzględniona</w:t>
            </w:r>
          </w:p>
        </w:tc>
        <w:tc>
          <w:tcPr>
            <w:tcW w:w="1900" w:type="dxa"/>
          </w:tcPr>
          <w:p w14:paraId="52815D8A" w14:textId="24F5EA89" w:rsidR="004E0927" w:rsidRDefault="008F36EA" w:rsidP="004D086F">
            <w:pPr>
              <w:jc w:val="center"/>
              <w:rPr>
                <w:rFonts w:asciiTheme="minorHAnsi" w:hAnsiTheme="minorHAnsi" w:cstheme="minorHAnsi"/>
                <w:sz w:val="20"/>
                <w:szCs w:val="20"/>
              </w:rPr>
            </w:pPr>
            <w:r>
              <w:rPr>
                <w:rFonts w:asciiTheme="minorHAnsi" w:hAnsiTheme="minorHAnsi" w:cstheme="minorHAnsi"/>
                <w:sz w:val="20"/>
                <w:szCs w:val="20"/>
              </w:rPr>
              <w:t>Zapis</w:t>
            </w:r>
            <w:r w:rsidR="00D1733C">
              <w:rPr>
                <w:rFonts w:asciiTheme="minorHAnsi" w:hAnsiTheme="minorHAnsi" w:cstheme="minorHAnsi"/>
                <w:sz w:val="20"/>
                <w:szCs w:val="20"/>
              </w:rPr>
              <w:t xml:space="preserve"> w Programie</w:t>
            </w:r>
            <w:r>
              <w:rPr>
                <w:rFonts w:asciiTheme="minorHAnsi" w:hAnsiTheme="minorHAnsi" w:cstheme="minorHAnsi"/>
                <w:sz w:val="20"/>
                <w:szCs w:val="20"/>
              </w:rPr>
              <w:t xml:space="preserve"> został</w:t>
            </w:r>
            <w:r w:rsidR="00C35D49">
              <w:rPr>
                <w:rFonts w:asciiTheme="minorHAnsi" w:hAnsiTheme="minorHAnsi" w:cstheme="minorHAnsi"/>
                <w:sz w:val="20"/>
                <w:szCs w:val="20"/>
              </w:rPr>
              <w:t xml:space="preserve"> poprawiony. </w:t>
            </w:r>
          </w:p>
          <w:p w14:paraId="7DC157ED" w14:textId="6022E5E9" w:rsidR="00D1733C" w:rsidRPr="004E0927" w:rsidRDefault="00D1733C" w:rsidP="004D086F">
            <w:pPr>
              <w:jc w:val="center"/>
              <w:rPr>
                <w:rFonts w:asciiTheme="minorHAnsi" w:hAnsiTheme="minorHAnsi" w:cstheme="minorHAnsi"/>
                <w:sz w:val="20"/>
                <w:szCs w:val="20"/>
              </w:rPr>
            </w:pPr>
          </w:p>
        </w:tc>
      </w:tr>
      <w:tr w:rsidR="00AD0C0D" w:rsidRPr="004E0927" w14:paraId="76479FEE" w14:textId="77777777" w:rsidTr="003A0B1E">
        <w:tc>
          <w:tcPr>
            <w:tcW w:w="533" w:type="dxa"/>
            <w:shd w:val="clear" w:color="auto" w:fill="auto"/>
            <w:vAlign w:val="center"/>
          </w:tcPr>
          <w:p w14:paraId="140AAB45" w14:textId="77777777" w:rsidR="004E0927" w:rsidRPr="004E0927" w:rsidRDefault="004E0927" w:rsidP="00DD331D">
            <w:pPr>
              <w:pStyle w:val="Akapitzlist"/>
              <w:numPr>
                <w:ilvl w:val="0"/>
                <w:numId w:val="3"/>
              </w:numPr>
              <w:spacing w:before="120" w:after="120"/>
              <w:jc w:val="center"/>
              <w:rPr>
                <w:rFonts w:asciiTheme="minorHAnsi" w:hAnsiTheme="minorHAnsi" w:cstheme="minorHAnsi"/>
                <w:b/>
                <w:sz w:val="20"/>
                <w:szCs w:val="20"/>
              </w:rPr>
            </w:pPr>
          </w:p>
        </w:tc>
        <w:tc>
          <w:tcPr>
            <w:tcW w:w="771" w:type="dxa"/>
            <w:shd w:val="clear" w:color="auto" w:fill="auto"/>
            <w:vAlign w:val="center"/>
          </w:tcPr>
          <w:p w14:paraId="78592EA2" w14:textId="77777777" w:rsidR="004E0927" w:rsidRPr="004E0927" w:rsidRDefault="004E0927" w:rsidP="001F4962">
            <w:pPr>
              <w:spacing w:before="60" w:after="60"/>
              <w:jc w:val="center"/>
              <w:rPr>
                <w:rFonts w:asciiTheme="minorHAnsi" w:hAnsiTheme="minorHAnsi" w:cstheme="minorHAnsi"/>
                <w:b/>
                <w:sz w:val="20"/>
                <w:szCs w:val="20"/>
              </w:rPr>
            </w:pPr>
            <w:proofErr w:type="spellStart"/>
            <w:r w:rsidRPr="004E0927">
              <w:rPr>
                <w:rFonts w:asciiTheme="minorHAnsi" w:hAnsiTheme="minorHAnsi" w:cstheme="minorHAnsi"/>
                <w:b/>
                <w:sz w:val="20"/>
                <w:szCs w:val="20"/>
              </w:rPr>
              <w:t>MEiN</w:t>
            </w:r>
            <w:proofErr w:type="spellEnd"/>
          </w:p>
        </w:tc>
        <w:tc>
          <w:tcPr>
            <w:tcW w:w="1318" w:type="dxa"/>
            <w:shd w:val="clear" w:color="auto" w:fill="auto"/>
          </w:tcPr>
          <w:p w14:paraId="105F0261" w14:textId="77777777" w:rsidR="004E0927" w:rsidRPr="004E0927" w:rsidRDefault="004E0927" w:rsidP="004D086F">
            <w:pPr>
              <w:jc w:val="center"/>
              <w:rPr>
                <w:rFonts w:asciiTheme="minorHAnsi" w:hAnsiTheme="minorHAnsi" w:cstheme="minorHAnsi"/>
                <w:sz w:val="20"/>
                <w:szCs w:val="20"/>
              </w:rPr>
            </w:pPr>
            <w:r w:rsidRPr="004E0927">
              <w:rPr>
                <w:rFonts w:asciiTheme="minorHAnsi" w:hAnsiTheme="minorHAnsi" w:cstheme="minorHAnsi"/>
                <w:sz w:val="20"/>
                <w:szCs w:val="20"/>
              </w:rPr>
              <w:t>FENG jako odpowiedź na wyzwania na poziomie UE i krajowym, str. 11</w:t>
            </w:r>
          </w:p>
        </w:tc>
        <w:tc>
          <w:tcPr>
            <w:tcW w:w="4577" w:type="dxa"/>
            <w:shd w:val="clear" w:color="auto" w:fill="auto"/>
          </w:tcPr>
          <w:p w14:paraId="27EAEABA" w14:textId="77777777" w:rsidR="004E0927" w:rsidRPr="004E0927" w:rsidRDefault="004E0927" w:rsidP="0095289B">
            <w:pPr>
              <w:jc w:val="both"/>
              <w:rPr>
                <w:rFonts w:asciiTheme="minorHAnsi" w:hAnsiTheme="minorHAnsi" w:cstheme="minorHAnsi"/>
                <w:sz w:val="20"/>
                <w:szCs w:val="20"/>
              </w:rPr>
            </w:pPr>
            <w:r w:rsidRPr="004E0927">
              <w:rPr>
                <w:rFonts w:asciiTheme="minorHAnsi" w:hAnsiTheme="minorHAnsi" w:cstheme="minorHAnsi"/>
                <w:sz w:val="20"/>
                <w:szCs w:val="20"/>
              </w:rPr>
              <w:t>Większość wskazanych w tej części wyzwań została osobno opisana na str. 2-5 (Wyzwania związane z rozwojem gospodarczym i innowacyjnością, Wyzwania związane z Europejskim Zielonym Ładem, Wyzwania związane z cyfryzacją, gospodarką 4.0, Wyzwania związane z pandemią COVID-19). Jaka jest tego przyczyna? Rozbijanie jednego tematu na dwie, oddzielne części dokumentu wydaje się nieuzasadnione.</w:t>
            </w:r>
          </w:p>
        </w:tc>
        <w:tc>
          <w:tcPr>
            <w:tcW w:w="4961" w:type="dxa"/>
            <w:shd w:val="clear" w:color="auto" w:fill="auto"/>
          </w:tcPr>
          <w:p w14:paraId="7A3BB0D7" w14:textId="77777777" w:rsidR="004E0927" w:rsidRPr="004E0927" w:rsidRDefault="004E0927" w:rsidP="0095289B">
            <w:pPr>
              <w:jc w:val="both"/>
              <w:rPr>
                <w:rFonts w:asciiTheme="minorHAnsi" w:hAnsiTheme="minorHAnsi" w:cstheme="minorHAnsi"/>
                <w:sz w:val="20"/>
                <w:szCs w:val="20"/>
              </w:rPr>
            </w:pPr>
            <w:r w:rsidRPr="004E0927">
              <w:rPr>
                <w:rFonts w:asciiTheme="minorHAnsi" w:hAnsiTheme="minorHAnsi" w:cstheme="minorHAnsi"/>
                <w:sz w:val="20"/>
                <w:szCs w:val="20"/>
              </w:rPr>
              <w:t>Sugerujemy scalić zapisy ze str. 2-5 z zapisami z części „FENG jako odpowiedź na wyzwania na poziomie UE i krajowym”.</w:t>
            </w:r>
          </w:p>
        </w:tc>
        <w:tc>
          <w:tcPr>
            <w:tcW w:w="1701" w:type="dxa"/>
          </w:tcPr>
          <w:p w14:paraId="5EFC2F0D" w14:textId="77777777" w:rsidR="004E0927" w:rsidRPr="004E0927" w:rsidRDefault="00BC43CA" w:rsidP="004D086F">
            <w:pPr>
              <w:jc w:val="center"/>
              <w:rPr>
                <w:rFonts w:asciiTheme="minorHAnsi" w:hAnsiTheme="minorHAnsi" w:cstheme="minorHAnsi"/>
                <w:sz w:val="20"/>
                <w:szCs w:val="20"/>
              </w:rPr>
            </w:pPr>
            <w:r>
              <w:rPr>
                <w:rFonts w:asciiTheme="minorHAnsi" w:hAnsiTheme="minorHAnsi" w:cstheme="minorHAnsi"/>
                <w:sz w:val="20"/>
                <w:szCs w:val="20"/>
              </w:rPr>
              <w:t>nieuwzględniona</w:t>
            </w:r>
          </w:p>
        </w:tc>
        <w:tc>
          <w:tcPr>
            <w:tcW w:w="1900" w:type="dxa"/>
          </w:tcPr>
          <w:p w14:paraId="09334F9B" w14:textId="77777777" w:rsidR="004E0927" w:rsidRDefault="00BC43CA" w:rsidP="00BC43CA">
            <w:pPr>
              <w:jc w:val="both"/>
              <w:rPr>
                <w:rFonts w:asciiTheme="minorHAnsi" w:hAnsiTheme="minorHAnsi" w:cstheme="minorHAnsi"/>
                <w:sz w:val="20"/>
                <w:szCs w:val="20"/>
              </w:rPr>
            </w:pPr>
            <w:r>
              <w:rPr>
                <w:rFonts w:asciiTheme="minorHAnsi" w:hAnsiTheme="minorHAnsi" w:cstheme="minorHAnsi"/>
                <w:sz w:val="20"/>
                <w:szCs w:val="20"/>
              </w:rPr>
              <w:t xml:space="preserve">Na stronie 2-5 wskazano wyzwania, z kolei w dalszej części odniesiono się do działań przewidzianych do realizacji w ramach FENG, które </w:t>
            </w:r>
            <w:r>
              <w:rPr>
                <w:rFonts w:asciiTheme="minorHAnsi" w:hAnsiTheme="minorHAnsi" w:cstheme="minorHAnsi"/>
                <w:sz w:val="20"/>
                <w:szCs w:val="20"/>
              </w:rPr>
              <w:lastRenderedPageBreak/>
              <w:t>stanowią odpowiedź na wskazane wyzwania i stanowią element uzasadnienia wybranych celów polityki.</w:t>
            </w:r>
          </w:p>
          <w:p w14:paraId="0BA5E4CF" w14:textId="77777777" w:rsidR="00D1733C" w:rsidRPr="004E0927" w:rsidRDefault="00D1733C" w:rsidP="00BC43CA">
            <w:pPr>
              <w:jc w:val="both"/>
              <w:rPr>
                <w:rFonts w:asciiTheme="minorHAnsi" w:hAnsiTheme="minorHAnsi" w:cstheme="minorHAnsi"/>
                <w:sz w:val="20"/>
                <w:szCs w:val="20"/>
              </w:rPr>
            </w:pPr>
          </w:p>
        </w:tc>
      </w:tr>
      <w:tr w:rsidR="00AD0C0D" w:rsidRPr="004E0927" w14:paraId="0B371E27" w14:textId="77777777" w:rsidTr="003A0B1E">
        <w:tc>
          <w:tcPr>
            <w:tcW w:w="533" w:type="dxa"/>
            <w:shd w:val="clear" w:color="auto" w:fill="auto"/>
            <w:vAlign w:val="center"/>
          </w:tcPr>
          <w:p w14:paraId="34CF5949" w14:textId="77777777" w:rsidR="004E0927" w:rsidRPr="004E0927" w:rsidRDefault="004E0927" w:rsidP="00DD331D">
            <w:pPr>
              <w:pStyle w:val="Akapitzlist"/>
              <w:numPr>
                <w:ilvl w:val="0"/>
                <w:numId w:val="3"/>
              </w:numPr>
              <w:spacing w:before="120" w:after="120"/>
              <w:jc w:val="center"/>
              <w:rPr>
                <w:rFonts w:asciiTheme="minorHAnsi" w:hAnsiTheme="minorHAnsi" w:cstheme="minorHAnsi"/>
                <w:b/>
                <w:sz w:val="20"/>
                <w:szCs w:val="20"/>
              </w:rPr>
            </w:pPr>
          </w:p>
        </w:tc>
        <w:tc>
          <w:tcPr>
            <w:tcW w:w="771" w:type="dxa"/>
            <w:shd w:val="clear" w:color="auto" w:fill="auto"/>
            <w:vAlign w:val="center"/>
          </w:tcPr>
          <w:p w14:paraId="11A107AF" w14:textId="77777777" w:rsidR="004E0927" w:rsidRPr="004E0927" w:rsidRDefault="004E0927" w:rsidP="001F4962">
            <w:pPr>
              <w:spacing w:before="60" w:after="60"/>
              <w:jc w:val="center"/>
              <w:rPr>
                <w:rFonts w:asciiTheme="minorHAnsi" w:hAnsiTheme="minorHAnsi" w:cstheme="minorHAnsi"/>
                <w:b/>
                <w:sz w:val="20"/>
                <w:szCs w:val="20"/>
              </w:rPr>
            </w:pPr>
            <w:proofErr w:type="spellStart"/>
            <w:r w:rsidRPr="004E0927">
              <w:rPr>
                <w:rFonts w:asciiTheme="minorHAnsi" w:hAnsiTheme="minorHAnsi" w:cstheme="minorHAnsi"/>
                <w:b/>
                <w:sz w:val="20"/>
                <w:szCs w:val="20"/>
              </w:rPr>
              <w:t>MEiN</w:t>
            </w:r>
            <w:proofErr w:type="spellEnd"/>
          </w:p>
        </w:tc>
        <w:tc>
          <w:tcPr>
            <w:tcW w:w="1318" w:type="dxa"/>
            <w:shd w:val="clear" w:color="auto" w:fill="auto"/>
          </w:tcPr>
          <w:p w14:paraId="69B086F5" w14:textId="77777777" w:rsidR="004E0927" w:rsidRPr="004E0927" w:rsidRDefault="004E0927" w:rsidP="004D086F">
            <w:pPr>
              <w:jc w:val="center"/>
              <w:rPr>
                <w:rFonts w:asciiTheme="minorHAnsi" w:hAnsiTheme="minorHAnsi" w:cstheme="minorHAnsi"/>
                <w:sz w:val="20"/>
                <w:szCs w:val="20"/>
              </w:rPr>
            </w:pPr>
            <w:r w:rsidRPr="004E0927">
              <w:rPr>
                <w:rFonts w:asciiTheme="minorHAnsi" w:hAnsiTheme="minorHAnsi" w:cstheme="minorHAnsi"/>
                <w:sz w:val="20"/>
                <w:szCs w:val="20"/>
              </w:rPr>
              <w:t>Wykorzystany zostanie potencjał rosnącej liczby specjalistów ICT w celu opracowywania                  i tworzenia rozwiązań cyfrowych przez przedsiębiorstwa w module prac badawczo-rozwojowych i module cyfrowym w 1. Priorytecie., str. 13</w:t>
            </w:r>
          </w:p>
        </w:tc>
        <w:tc>
          <w:tcPr>
            <w:tcW w:w="4577" w:type="dxa"/>
            <w:shd w:val="clear" w:color="auto" w:fill="auto"/>
          </w:tcPr>
          <w:p w14:paraId="343662A9" w14:textId="77777777" w:rsidR="004E0927" w:rsidRPr="004E0927" w:rsidRDefault="004E0927" w:rsidP="0095289B">
            <w:pPr>
              <w:jc w:val="both"/>
              <w:rPr>
                <w:rFonts w:asciiTheme="minorHAnsi" w:hAnsiTheme="minorHAnsi" w:cstheme="minorHAnsi"/>
                <w:sz w:val="20"/>
                <w:szCs w:val="20"/>
              </w:rPr>
            </w:pPr>
            <w:r w:rsidRPr="004E0927">
              <w:rPr>
                <w:rFonts w:asciiTheme="minorHAnsi" w:hAnsiTheme="minorHAnsi" w:cstheme="minorHAnsi"/>
                <w:sz w:val="20"/>
                <w:szCs w:val="20"/>
              </w:rPr>
              <w:t xml:space="preserve">1/ Potrzebne źródło. Zgodnie z bieżącymi doniesieniami, w Polsce wciąż brakuje specjalistów z obszaru ICT. Dodatkowo Zał. 1- Diagnoza FENG, wskazuje: </w:t>
            </w:r>
            <w:r w:rsidRPr="004E0927">
              <w:rPr>
                <w:rFonts w:asciiTheme="minorHAnsi" w:hAnsiTheme="minorHAnsi" w:cstheme="minorHAnsi"/>
                <w:i/>
                <w:sz w:val="20"/>
                <w:szCs w:val="20"/>
              </w:rPr>
              <w:t>Przykładowo obecna luka kompetencyjna w sektorze ICT w Polsce określona jest na poziomie 50.000 wakatów w ramach różnych specjalizacji i poziomów zaawansowania.</w:t>
            </w:r>
          </w:p>
          <w:p w14:paraId="2573B853" w14:textId="77777777" w:rsidR="004E0927" w:rsidRDefault="004E0927" w:rsidP="0095289B">
            <w:pPr>
              <w:jc w:val="both"/>
              <w:rPr>
                <w:rFonts w:asciiTheme="minorHAnsi" w:hAnsiTheme="minorHAnsi" w:cstheme="minorHAnsi"/>
                <w:sz w:val="20"/>
                <w:szCs w:val="20"/>
              </w:rPr>
            </w:pPr>
          </w:p>
          <w:p w14:paraId="7E0FB10F" w14:textId="77777777" w:rsidR="00FC481B" w:rsidRDefault="00FC481B" w:rsidP="0095289B">
            <w:pPr>
              <w:jc w:val="both"/>
              <w:rPr>
                <w:rFonts w:asciiTheme="minorHAnsi" w:hAnsiTheme="minorHAnsi" w:cstheme="minorHAnsi"/>
                <w:sz w:val="20"/>
                <w:szCs w:val="20"/>
              </w:rPr>
            </w:pPr>
          </w:p>
          <w:p w14:paraId="3B088529" w14:textId="77777777" w:rsidR="00FC481B" w:rsidRDefault="00FC481B" w:rsidP="0095289B">
            <w:pPr>
              <w:jc w:val="both"/>
              <w:rPr>
                <w:rFonts w:asciiTheme="minorHAnsi" w:hAnsiTheme="minorHAnsi" w:cstheme="minorHAnsi"/>
                <w:sz w:val="20"/>
                <w:szCs w:val="20"/>
              </w:rPr>
            </w:pPr>
          </w:p>
          <w:p w14:paraId="50E94159" w14:textId="77777777" w:rsidR="00FC481B" w:rsidRDefault="00FC481B" w:rsidP="0095289B">
            <w:pPr>
              <w:jc w:val="both"/>
              <w:rPr>
                <w:rFonts w:asciiTheme="minorHAnsi" w:hAnsiTheme="minorHAnsi" w:cstheme="minorHAnsi"/>
                <w:sz w:val="20"/>
                <w:szCs w:val="20"/>
              </w:rPr>
            </w:pPr>
          </w:p>
          <w:p w14:paraId="1F7CC9CD" w14:textId="77777777" w:rsidR="00FC481B" w:rsidRDefault="00FC481B" w:rsidP="0095289B">
            <w:pPr>
              <w:jc w:val="both"/>
              <w:rPr>
                <w:rFonts w:asciiTheme="minorHAnsi" w:hAnsiTheme="minorHAnsi" w:cstheme="minorHAnsi"/>
                <w:sz w:val="20"/>
                <w:szCs w:val="20"/>
              </w:rPr>
            </w:pPr>
          </w:p>
          <w:p w14:paraId="1156887B" w14:textId="77777777" w:rsidR="00FC481B" w:rsidRDefault="00FC481B" w:rsidP="0095289B">
            <w:pPr>
              <w:jc w:val="both"/>
              <w:rPr>
                <w:rFonts w:asciiTheme="minorHAnsi" w:hAnsiTheme="minorHAnsi" w:cstheme="minorHAnsi"/>
                <w:sz w:val="20"/>
                <w:szCs w:val="20"/>
              </w:rPr>
            </w:pPr>
          </w:p>
          <w:p w14:paraId="3FBE8357" w14:textId="77777777" w:rsidR="00FC481B" w:rsidRDefault="00FC481B" w:rsidP="0095289B">
            <w:pPr>
              <w:jc w:val="both"/>
              <w:rPr>
                <w:rFonts w:asciiTheme="minorHAnsi" w:hAnsiTheme="minorHAnsi" w:cstheme="minorHAnsi"/>
                <w:sz w:val="20"/>
                <w:szCs w:val="20"/>
              </w:rPr>
            </w:pPr>
          </w:p>
          <w:p w14:paraId="0AC18457" w14:textId="77777777" w:rsidR="00FC481B" w:rsidRDefault="00FC481B" w:rsidP="0095289B">
            <w:pPr>
              <w:jc w:val="both"/>
              <w:rPr>
                <w:rFonts w:asciiTheme="minorHAnsi" w:hAnsiTheme="minorHAnsi" w:cstheme="minorHAnsi"/>
                <w:sz w:val="20"/>
                <w:szCs w:val="20"/>
              </w:rPr>
            </w:pPr>
          </w:p>
          <w:p w14:paraId="3CFEA804" w14:textId="77777777" w:rsidR="00FC481B" w:rsidRDefault="00FC481B" w:rsidP="0095289B">
            <w:pPr>
              <w:jc w:val="both"/>
              <w:rPr>
                <w:rFonts w:asciiTheme="minorHAnsi" w:hAnsiTheme="minorHAnsi" w:cstheme="minorHAnsi"/>
                <w:sz w:val="20"/>
                <w:szCs w:val="20"/>
              </w:rPr>
            </w:pPr>
          </w:p>
          <w:p w14:paraId="108073F4" w14:textId="77777777" w:rsidR="00FC481B" w:rsidRDefault="00FC481B" w:rsidP="0095289B">
            <w:pPr>
              <w:jc w:val="both"/>
              <w:rPr>
                <w:rFonts w:asciiTheme="minorHAnsi" w:hAnsiTheme="minorHAnsi" w:cstheme="minorHAnsi"/>
                <w:sz w:val="20"/>
                <w:szCs w:val="20"/>
              </w:rPr>
            </w:pPr>
          </w:p>
          <w:p w14:paraId="2AED0A98" w14:textId="77777777" w:rsidR="00FC481B" w:rsidRPr="004E0927" w:rsidRDefault="00FC481B" w:rsidP="0095289B">
            <w:pPr>
              <w:jc w:val="both"/>
              <w:rPr>
                <w:rFonts w:asciiTheme="minorHAnsi" w:hAnsiTheme="minorHAnsi" w:cstheme="minorHAnsi"/>
                <w:sz w:val="20"/>
                <w:szCs w:val="20"/>
              </w:rPr>
            </w:pPr>
          </w:p>
          <w:p w14:paraId="63731434" w14:textId="77777777" w:rsidR="004E0927" w:rsidRPr="004E0927" w:rsidRDefault="004E0927" w:rsidP="0095289B">
            <w:pPr>
              <w:jc w:val="both"/>
              <w:rPr>
                <w:rFonts w:asciiTheme="minorHAnsi" w:hAnsiTheme="minorHAnsi" w:cstheme="minorHAnsi"/>
                <w:sz w:val="20"/>
                <w:szCs w:val="20"/>
              </w:rPr>
            </w:pPr>
            <w:r w:rsidRPr="004E0927">
              <w:rPr>
                <w:rFonts w:asciiTheme="minorHAnsi" w:hAnsiTheme="minorHAnsi" w:cstheme="minorHAnsi"/>
                <w:sz w:val="20"/>
                <w:szCs w:val="20"/>
              </w:rPr>
              <w:t>2/ Nie wyjaśniono, w jaki sposób potencjał specjalistów ICT zostanie przełożony na nowe rozwiązania.</w:t>
            </w:r>
          </w:p>
        </w:tc>
        <w:tc>
          <w:tcPr>
            <w:tcW w:w="4961" w:type="dxa"/>
            <w:shd w:val="clear" w:color="auto" w:fill="auto"/>
          </w:tcPr>
          <w:p w14:paraId="50DAF6BE" w14:textId="77777777" w:rsidR="004E0927" w:rsidRPr="004E0927" w:rsidRDefault="004E0927" w:rsidP="0095289B">
            <w:pPr>
              <w:jc w:val="both"/>
              <w:rPr>
                <w:rFonts w:asciiTheme="minorHAnsi" w:hAnsiTheme="minorHAnsi" w:cstheme="minorHAnsi"/>
                <w:sz w:val="20"/>
                <w:szCs w:val="20"/>
              </w:rPr>
            </w:pPr>
            <w:r w:rsidRPr="004E0927">
              <w:rPr>
                <w:rFonts w:asciiTheme="minorHAnsi" w:hAnsiTheme="minorHAnsi" w:cstheme="minorHAnsi"/>
                <w:sz w:val="20"/>
                <w:szCs w:val="20"/>
              </w:rPr>
              <w:t>Potrzebne źródło i uzgodnienie z Zał. 1.</w:t>
            </w:r>
          </w:p>
        </w:tc>
        <w:tc>
          <w:tcPr>
            <w:tcW w:w="1701" w:type="dxa"/>
          </w:tcPr>
          <w:p w14:paraId="4DB093B3" w14:textId="672FC776" w:rsidR="004E0927" w:rsidRDefault="00C93B06" w:rsidP="004D086F">
            <w:pPr>
              <w:jc w:val="center"/>
              <w:rPr>
                <w:rFonts w:asciiTheme="minorHAnsi" w:hAnsiTheme="minorHAnsi" w:cstheme="minorHAnsi"/>
                <w:sz w:val="20"/>
                <w:szCs w:val="20"/>
              </w:rPr>
            </w:pPr>
            <w:r>
              <w:rPr>
                <w:rFonts w:asciiTheme="minorHAnsi" w:hAnsiTheme="minorHAnsi" w:cstheme="minorHAnsi"/>
                <w:sz w:val="20"/>
                <w:szCs w:val="20"/>
              </w:rPr>
              <w:t>Ad.  1 –uwzględniona</w:t>
            </w:r>
          </w:p>
          <w:p w14:paraId="6C75F468" w14:textId="77777777" w:rsidR="00FC481B" w:rsidRDefault="00FC481B" w:rsidP="004D086F">
            <w:pPr>
              <w:jc w:val="center"/>
              <w:rPr>
                <w:rFonts w:asciiTheme="minorHAnsi" w:hAnsiTheme="minorHAnsi" w:cstheme="minorHAnsi"/>
                <w:sz w:val="20"/>
                <w:szCs w:val="20"/>
              </w:rPr>
            </w:pPr>
          </w:p>
          <w:p w14:paraId="042E193E" w14:textId="77777777" w:rsidR="00FC481B" w:rsidRDefault="00FC481B" w:rsidP="004D086F">
            <w:pPr>
              <w:jc w:val="center"/>
              <w:rPr>
                <w:rFonts w:asciiTheme="minorHAnsi" w:hAnsiTheme="minorHAnsi" w:cstheme="minorHAnsi"/>
                <w:sz w:val="20"/>
                <w:szCs w:val="20"/>
              </w:rPr>
            </w:pPr>
          </w:p>
          <w:p w14:paraId="778B22E2" w14:textId="77777777" w:rsidR="00FC481B" w:rsidRDefault="00FC481B" w:rsidP="004D086F">
            <w:pPr>
              <w:jc w:val="center"/>
              <w:rPr>
                <w:rFonts w:asciiTheme="minorHAnsi" w:hAnsiTheme="minorHAnsi" w:cstheme="minorHAnsi"/>
                <w:sz w:val="20"/>
                <w:szCs w:val="20"/>
              </w:rPr>
            </w:pPr>
          </w:p>
          <w:p w14:paraId="2FC61D42" w14:textId="77777777" w:rsidR="00FC481B" w:rsidRDefault="00FC481B" w:rsidP="004D086F">
            <w:pPr>
              <w:jc w:val="center"/>
              <w:rPr>
                <w:rFonts w:asciiTheme="minorHAnsi" w:hAnsiTheme="minorHAnsi" w:cstheme="minorHAnsi"/>
                <w:sz w:val="20"/>
                <w:szCs w:val="20"/>
              </w:rPr>
            </w:pPr>
          </w:p>
          <w:p w14:paraId="5E5D28D8" w14:textId="77777777" w:rsidR="00FC481B" w:rsidRDefault="00FC481B" w:rsidP="004D086F">
            <w:pPr>
              <w:jc w:val="center"/>
              <w:rPr>
                <w:rFonts w:asciiTheme="minorHAnsi" w:hAnsiTheme="minorHAnsi" w:cstheme="minorHAnsi"/>
                <w:sz w:val="20"/>
                <w:szCs w:val="20"/>
              </w:rPr>
            </w:pPr>
          </w:p>
          <w:p w14:paraId="36F4C554" w14:textId="77777777" w:rsidR="00FC481B" w:rsidRDefault="00FC481B" w:rsidP="004D086F">
            <w:pPr>
              <w:jc w:val="center"/>
              <w:rPr>
                <w:rFonts w:asciiTheme="minorHAnsi" w:hAnsiTheme="minorHAnsi" w:cstheme="minorHAnsi"/>
                <w:sz w:val="20"/>
                <w:szCs w:val="20"/>
              </w:rPr>
            </w:pPr>
          </w:p>
          <w:p w14:paraId="6742FFB4" w14:textId="77777777" w:rsidR="00FC481B" w:rsidRDefault="00FC481B" w:rsidP="004D086F">
            <w:pPr>
              <w:jc w:val="center"/>
              <w:rPr>
                <w:rFonts w:asciiTheme="minorHAnsi" w:hAnsiTheme="minorHAnsi" w:cstheme="minorHAnsi"/>
                <w:sz w:val="20"/>
                <w:szCs w:val="20"/>
              </w:rPr>
            </w:pPr>
          </w:p>
          <w:p w14:paraId="10589494" w14:textId="77777777" w:rsidR="00FC481B" w:rsidRDefault="00FC481B" w:rsidP="004D086F">
            <w:pPr>
              <w:jc w:val="center"/>
              <w:rPr>
                <w:rFonts w:asciiTheme="minorHAnsi" w:hAnsiTheme="minorHAnsi" w:cstheme="minorHAnsi"/>
                <w:sz w:val="20"/>
                <w:szCs w:val="20"/>
              </w:rPr>
            </w:pPr>
          </w:p>
          <w:p w14:paraId="3148B2BB" w14:textId="77777777" w:rsidR="00FC481B" w:rsidRDefault="00FC481B" w:rsidP="004D086F">
            <w:pPr>
              <w:jc w:val="center"/>
              <w:rPr>
                <w:rFonts w:asciiTheme="minorHAnsi" w:hAnsiTheme="minorHAnsi" w:cstheme="minorHAnsi"/>
                <w:sz w:val="20"/>
                <w:szCs w:val="20"/>
              </w:rPr>
            </w:pPr>
          </w:p>
          <w:p w14:paraId="4CFD75EB" w14:textId="77777777" w:rsidR="00FC481B" w:rsidRDefault="00FC481B" w:rsidP="004D086F">
            <w:pPr>
              <w:jc w:val="center"/>
              <w:rPr>
                <w:rFonts w:asciiTheme="minorHAnsi" w:hAnsiTheme="minorHAnsi" w:cstheme="minorHAnsi"/>
                <w:sz w:val="20"/>
                <w:szCs w:val="20"/>
              </w:rPr>
            </w:pPr>
          </w:p>
          <w:p w14:paraId="32A184E0" w14:textId="77777777" w:rsidR="00FC481B" w:rsidRDefault="00FC481B" w:rsidP="004D086F">
            <w:pPr>
              <w:jc w:val="center"/>
              <w:rPr>
                <w:rFonts w:asciiTheme="minorHAnsi" w:hAnsiTheme="minorHAnsi" w:cstheme="minorHAnsi"/>
                <w:sz w:val="20"/>
                <w:szCs w:val="20"/>
              </w:rPr>
            </w:pPr>
          </w:p>
          <w:p w14:paraId="79734A4E" w14:textId="77777777" w:rsidR="00FC481B" w:rsidRDefault="00FC481B" w:rsidP="004D086F">
            <w:pPr>
              <w:jc w:val="center"/>
              <w:rPr>
                <w:rFonts w:asciiTheme="minorHAnsi" w:hAnsiTheme="minorHAnsi" w:cstheme="minorHAnsi"/>
                <w:sz w:val="20"/>
                <w:szCs w:val="20"/>
              </w:rPr>
            </w:pPr>
          </w:p>
          <w:p w14:paraId="45A90134" w14:textId="77777777" w:rsidR="00C93B06" w:rsidRDefault="00C93B06" w:rsidP="004D086F">
            <w:pPr>
              <w:jc w:val="center"/>
              <w:rPr>
                <w:rFonts w:asciiTheme="minorHAnsi" w:hAnsiTheme="minorHAnsi" w:cstheme="minorHAnsi"/>
                <w:sz w:val="20"/>
                <w:szCs w:val="20"/>
              </w:rPr>
            </w:pPr>
          </w:p>
          <w:p w14:paraId="2B3031A1" w14:textId="77777777" w:rsidR="00FC481B" w:rsidRDefault="00FC481B" w:rsidP="004D086F">
            <w:pPr>
              <w:jc w:val="center"/>
              <w:rPr>
                <w:rFonts w:asciiTheme="minorHAnsi" w:hAnsiTheme="minorHAnsi" w:cstheme="minorHAnsi"/>
                <w:sz w:val="20"/>
                <w:szCs w:val="20"/>
              </w:rPr>
            </w:pPr>
          </w:p>
          <w:p w14:paraId="72ECB604" w14:textId="77777777" w:rsidR="00FC481B" w:rsidRDefault="00FC481B" w:rsidP="004D086F">
            <w:pPr>
              <w:jc w:val="center"/>
              <w:rPr>
                <w:rFonts w:asciiTheme="minorHAnsi" w:hAnsiTheme="minorHAnsi" w:cstheme="minorHAnsi"/>
                <w:sz w:val="20"/>
                <w:szCs w:val="20"/>
              </w:rPr>
            </w:pPr>
          </w:p>
          <w:p w14:paraId="7B38A76B" w14:textId="05C3EF47" w:rsidR="00C93B06" w:rsidRPr="004E0927" w:rsidRDefault="00C93B06" w:rsidP="004D086F">
            <w:pPr>
              <w:jc w:val="center"/>
              <w:rPr>
                <w:rFonts w:asciiTheme="minorHAnsi" w:hAnsiTheme="minorHAnsi" w:cstheme="minorHAnsi"/>
                <w:sz w:val="20"/>
                <w:szCs w:val="20"/>
              </w:rPr>
            </w:pPr>
            <w:r>
              <w:rPr>
                <w:rFonts w:asciiTheme="minorHAnsi" w:hAnsiTheme="minorHAnsi" w:cstheme="minorHAnsi"/>
                <w:sz w:val="20"/>
                <w:szCs w:val="20"/>
              </w:rPr>
              <w:t>Ad. 2 - wyjaśnienie</w:t>
            </w:r>
          </w:p>
        </w:tc>
        <w:tc>
          <w:tcPr>
            <w:tcW w:w="1900" w:type="dxa"/>
          </w:tcPr>
          <w:p w14:paraId="0A9DDB48" w14:textId="77777777" w:rsidR="00FC481B" w:rsidRDefault="00FC481B" w:rsidP="006B5CA3">
            <w:pPr>
              <w:jc w:val="both"/>
              <w:rPr>
                <w:rFonts w:asciiTheme="minorHAnsi" w:hAnsiTheme="minorHAnsi" w:cstheme="minorHAnsi"/>
                <w:sz w:val="20"/>
                <w:szCs w:val="20"/>
              </w:rPr>
            </w:pPr>
            <w:r>
              <w:rPr>
                <w:rFonts w:asciiTheme="minorHAnsi" w:hAnsiTheme="minorHAnsi" w:cstheme="minorHAnsi"/>
                <w:sz w:val="20"/>
                <w:szCs w:val="20"/>
              </w:rPr>
              <w:t>Ad. 1 Źródło danych zostało uzupełnione w Programie.</w:t>
            </w:r>
          </w:p>
          <w:p w14:paraId="331B08B3" w14:textId="77777777" w:rsidR="00FC481B" w:rsidRDefault="00FC481B" w:rsidP="006B5CA3">
            <w:pPr>
              <w:jc w:val="both"/>
              <w:rPr>
                <w:rFonts w:asciiTheme="minorHAnsi" w:hAnsiTheme="minorHAnsi" w:cstheme="minorHAnsi"/>
                <w:sz w:val="20"/>
                <w:szCs w:val="20"/>
              </w:rPr>
            </w:pPr>
          </w:p>
          <w:p w14:paraId="477BB040" w14:textId="5929946E" w:rsidR="004E0927" w:rsidRDefault="00FC481B" w:rsidP="006B5CA3">
            <w:pPr>
              <w:jc w:val="both"/>
              <w:rPr>
                <w:rFonts w:asciiTheme="minorHAnsi" w:hAnsiTheme="minorHAnsi" w:cstheme="minorHAnsi"/>
                <w:sz w:val="20"/>
                <w:szCs w:val="20"/>
              </w:rPr>
            </w:pPr>
            <w:r>
              <w:rPr>
                <w:rFonts w:asciiTheme="minorHAnsi" w:hAnsiTheme="minorHAnsi" w:cstheme="minorHAnsi"/>
                <w:sz w:val="20"/>
                <w:szCs w:val="20"/>
              </w:rPr>
              <w:t>Jednocześnie n</w:t>
            </w:r>
            <w:r w:rsidR="006B5CA3">
              <w:rPr>
                <w:rFonts w:asciiTheme="minorHAnsi" w:hAnsiTheme="minorHAnsi" w:cstheme="minorHAnsi"/>
                <w:sz w:val="20"/>
                <w:szCs w:val="20"/>
              </w:rPr>
              <w:t xml:space="preserve">ależy zwrócić uwagę, iż rosnąca liczba specjalistów ICT nie jest jednoznaczna z ich wystarczającą ilością. Potrzeby nadal przewyższają dostępność specjalistów pomimo ich rosnącej liczby. </w:t>
            </w:r>
          </w:p>
          <w:p w14:paraId="6F25752B" w14:textId="77777777" w:rsidR="006B5CA3" w:rsidRDefault="006B5CA3" w:rsidP="006B5CA3">
            <w:pPr>
              <w:jc w:val="both"/>
              <w:rPr>
                <w:rFonts w:asciiTheme="minorHAnsi" w:hAnsiTheme="minorHAnsi" w:cstheme="minorHAnsi"/>
                <w:sz w:val="20"/>
                <w:szCs w:val="20"/>
              </w:rPr>
            </w:pPr>
          </w:p>
          <w:p w14:paraId="07BB9DC9" w14:textId="77777777" w:rsidR="00C35D49" w:rsidRDefault="00C35D49" w:rsidP="00C35D49">
            <w:pPr>
              <w:jc w:val="both"/>
              <w:rPr>
                <w:rFonts w:asciiTheme="minorHAnsi" w:hAnsiTheme="minorHAnsi" w:cstheme="minorHAnsi"/>
                <w:sz w:val="20"/>
                <w:szCs w:val="20"/>
              </w:rPr>
            </w:pPr>
            <w:r>
              <w:rPr>
                <w:rFonts w:asciiTheme="minorHAnsi" w:hAnsiTheme="minorHAnsi" w:cstheme="minorHAnsi"/>
                <w:sz w:val="20"/>
                <w:szCs w:val="20"/>
              </w:rPr>
              <w:t>Ad. 2</w:t>
            </w:r>
          </w:p>
          <w:p w14:paraId="62BC3079" w14:textId="77777777" w:rsidR="00C35D49" w:rsidRDefault="00C35D49" w:rsidP="00C35D49">
            <w:pPr>
              <w:jc w:val="both"/>
              <w:rPr>
                <w:rFonts w:asciiTheme="minorHAnsi" w:hAnsiTheme="minorHAnsi" w:cstheme="minorHAnsi"/>
                <w:sz w:val="20"/>
                <w:szCs w:val="20"/>
              </w:rPr>
            </w:pPr>
            <w:r>
              <w:rPr>
                <w:rFonts w:asciiTheme="minorHAnsi" w:hAnsiTheme="minorHAnsi" w:cstheme="minorHAnsi"/>
                <w:sz w:val="20"/>
                <w:szCs w:val="20"/>
              </w:rPr>
              <w:t>Moduł B+R oraz Moduł Cyfryzacja służą tworzeniu oraz wprowadzaniu do praktyki gospodarczej rozwiązań cyfrowych, do tworzenia których potrzebni są specjaliści ICT.</w:t>
            </w:r>
          </w:p>
          <w:p w14:paraId="43A0CF22" w14:textId="77777777" w:rsidR="00FC481B" w:rsidRPr="004E0927" w:rsidRDefault="00FC481B" w:rsidP="00C35D49">
            <w:pPr>
              <w:jc w:val="both"/>
              <w:rPr>
                <w:rFonts w:asciiTheme="minorHAnsi" w:hAnsiTheme="minorHAnsi" w:cstheme="minorHAnsi"/>
                <w:sz w:val="20"/>
                <w:szCs w:val="20"/>
              </w:rPr>
            </w:pPr>
          </w:p>
        </w:tc>
      </w:tr>
      <w:tr w:rsidR="00AD0C0D" w:rsidRPr="004E0927" w14:paraId="6E071F3E" w14:textId="77777777" w:rsidTr="003A0B1E">
        <w:tc>
          <w:tcPr>
            <w:tcW w:w="533" w:type="dxa"/>
            <w:shd w:val="clear" w:color="auto" w:fill="auto"/>
            <w:vAlign w:val="center"/>
          </w:tcPr>
          <w:p w14:paraId="5C8C66A1" w14:textId="64F200F1" w:rsidR="004E0927" w:rsidRPr="004E0927" w:rsidRDefault="004E0927" w:rsidP="00DD331D">
            <w:pPr>
              <w:pStyle w:val="Akapitzlist"/>
              <w:numPr>
                <w:ilvl w:val="0"/>
                <w:numId w:val="3"/>
              </w:numPr>
              <w:spacing w:before="120" w:after="120"/>
              <w:jc w:val="center"/>
              <w:rPr>
                <w:rFonts w:asciiTheme="minorHAnsi" w:hAnsiTheme="minorHAnsi" w:cstheme="minorHAnsi"/>
                <w:b/>
                <w:sz w:val="20"/>
                <w:szCs w:val="20"/>
              </w:rPr>
            </w:pPr>
          </w:p>
        </w:tc>
        <w:tc>
          <w:tcPr>
            <w:tcW w:w="771" w:type="dxa"/>
            <w:shd w:val="clear" w:color="auto" w:fill="auto"/>
            <w:vAlign w:val="center"/>
          </w:tcPr>
          <w:p w14:paraId="114A0BA1" w14:textId="77777777" w:rsidR="004E0927" w:rsidRPr="004E0927" w:rsidRDefault="004E0927" w:rsidP="001F4962">
            <w:pPr>
              <w:spacing w:before="60" w:after="60"/>
              <w:jc w:val="center"/>
              <w:rPr>
                <w:rFonts w:asciiTheme="minorHAnsi" w:hAnsiTheme="minorHAnsi" w:cstheme="minorHAnsi"/>
                <w:b/>
                <w:sz w:val="20"/>
                <w:szCs w:val="20"/>
              </w:rPr>
            </w:pPr>
            <w:proofErr w:type="spellStart"/>
            <w:r w:rsidRPr="004E0927">
              <w:rPr>
                <w:rFonts w:asciiTheme="minorHAnsi" w:hAnsiTheme="minorHAnsi" w:cstheme="minorHAnsi"/>
                <w:b/>
                <w:sz w:val="20"/>
                <w:szCs w:val="20"/>
              </w:rPr>
              <w:t>MEiN</w:t>
            </w:r>
            <w:proofErr w:type="spellEnd"/>
          </w:p>
        </w:tc>
        <w:tc>
          <w:tcPr>
            <w:tcW w:w="1318" w:type="dxa"/>
            <w:shd w:val="clear" w:color="auto" w:fill="auto"/>
          </w:tcPr>
          <w:p w14:paraId="60ACCA7F" w14:textId="77777777" w:rsidR="004E0927" w:rsidRPr="004E0927" w:rsidRDefault="004E0927" w:rsidP="004D086F">
            <w:pPr>
              <w:jc w:val="center"/>
              <w:rPr>
                <w:rFonts w:asciiTheme="minorHAnsi" w:hAnsiTheme="minorHAnsi" w:cstheme="minorHAnsi"/>
                <w:sz w:val="20"/>
                <w:szCs w:val="20"/>
              </w:rPr>
            </w:pPr>
            <w:r w:rsidRPr="004E0927">
              <w:rPr>
                <w:rFonts w:asciiTheme="minorHAnsi" w:hAnsiTheme="minorHAnsi" w:cstheme="minorHAnsi"/>
                <w:sz w:val="20"/>
                <w:szCs w:val="20"/>
              </w:rPr>
              <w:t xml:space="preserve">Wsparcie doradcze </w:t>
            </w:r>
            <w:r w:rsidRPr="004E0927">
              <w:rPr>
                <w:rFonts w:asciiTheme="minorHAnsi" w:hAnsiTheme="minorHAnsi" w:cstheme="minorHAnsi"/>
                <w:sz w:val="20"/>
                <w:szCs w:val="20"/>
              </w:rPr>
              <w:lastRenderedPageBreak/>
              <w:t>oraz (w ograniczonym zakresie) inwestycyjne obejmie również przedsiębiorstwa, w szczególności MSP…, str. 13.</w:t>
            </w:r>
          </w:p>
        </w:tc>
        <w:tc>
          <w:tcPr>
            <w:tcW w:w="4577" w:type="dxa"/>
            <w:shd w:val="clear" w:color="auto" w:fill="auto"/>
          </w:tcPr>
          <w:p w14:paraId="5FE14E04" w14:textId="77777777" w:rsidR="004E0927" w:rsidRPr="004E0927" w:rsidRDefault="004E0927" w:rsidP="0095289B">
            <w:pPr>
              <w:tabs>
                <w:tab w:val="left" w:pos="2960"/>
              </w:tabs>
              <w:jc w:val="both"/>
              <w:rPr>
                <w:rFonts w:asciiTheme="minorHAnsi" w:hAnsiTheme="minorHAnsi" w:cstheme="minorHAnsi"/>
                <w:sz w:val="20"/>
                <w:szCs w:val="20"/>
              </w:rPr>
            </w:pPr>
            <w:r w:rsidRPr="004E0927">
              <w:rPr>
                <w:rFonts w:asciiTheme="minorHAnsi" w:hAnsiTheme="minorHAnsi" w:cstheme="minorHAnsi"/>
                <w:sz w:val="20"/>
                <w:szCs w:val="20"/>
              </w:rPr>
              <w:lastRenderedPageBreak/>
              <w:t>Błędnie zapisany skrót.</w:t>
            </w:r>
          </w:p>
        </w:tc>
        <w:tc>
          <w:tcPr>
            <w:tcW w:w="4961" w:type="dxa"/>
            <w:shd w:val="clear" w:color="auto" w:fill="auto"/>
          </w:tcPr>
          <w:p w14:paraId="617ACE29" w14:textId="77777777" w:rsidR="004E0927" w:rsidRPr="004E0927" w:rsidRDefault="004E0927" w:rsidP="0095289B">
            <w:pPr>
              <w:jc w:val="both"/>
              <w:rPr>
                <w:rFonts w:asciiTheme="minorHAnsi" w:hAnsiTheme="minorHAnsi" w:cstheme="minorHAnsi"/>
                <w:sz w:val="20"/>
                <w:szCs w:val="20"/>
              </w:rPr>
            </w:pPr>
            <w:r w:rsidRPr="004E0927">
              <w:rPr>
                <w:rFonts w:asciiTheme="minorHAnsi" w:hAnsiTheme="minorHAnsi" w:cstheme="minorHAnsi"/>
                <w:sz w:val="20"/>
                <w:szCs w:val="20"/>
              </w:rPr>
              <w:t>Powinno być „MŚP”.</w:t>
            </w:r>
          </w:p>
        </w:tc>
        <w:tc>
          <w:tcPr>
            <w:tcW w:w="1701" w:type="dxa"/>
          </w:tcPr>
          <w:p w14:paraId="3F43EB83" w14:textId="77777777" w:rsidR="004E0927" w:rsidRPr="004E0927" w:rsidRDefault="004E0927" w:rsidP="004E0927">
            <w:pPr>
              <w:rPr>
                <w:rFonts w:asciiTheme="minorHAnsi" w:hAnsiTheme="minorHAnsi" w:cstheme="minorHAnsi"/>
                <w:sz w:val="20"/>
                <w:szCs w:val="20"/>
              </w:rPr>
            </w:pPr>
            <w:r>
              <w:rPr>
                <w:rFonts w:asciiTheme="minorHAnsi" w:hAnsiTheme="minorHAnsi" w:cstheme="minorHAnsi"/>
                <w:sz w:val="20"/>
                <w:szCs w:val="20"/>
              </w:rPr>
              <w:t>uwzględniona</w:t>
            </w:r>
          </w:p>
        </w:tc>
        <w:tc>
          <w:tcPr>
            <w:tcW w:w="1900" w:type="dxa"/>
          </w:tcPr>
          <w:p w14:paraId="2BAEDAA8" w14:textId="5B1CADE0" w:rsidR="004E0927" w:rsidRPr="004E0927" w:rsidRDefault="00FC481B" w:rsidP="004E0927">
            <w:pPr>
              <w:rPr>
                <w:rFonts w:asciiTheme="minorHAnsi" w:hAnsiTheme="minorHAnsi" w:cstheme="minorHAnsi"/>
                <w:sz w:val="20"/>
                <w:szCs w:val="20"/>
              </w:rPr>
            </w:pPr>
            <w:r>
              <w:rPr>
                <w:rFonts w:asciiTheme="minorHAnsi" w:hAnsiTheme="minorHAnsi" w:cstheme="minorHAnsi"/>
                <w:sz w:val="20"/>
                <w:szCs w:val="20"/>
              </w:rPr>
              <w:t xml:space="preserve">Zapis został </w:t>
            </w:r>
            <w:r w:rsidR="00C35D49">
              <w:rPr>
                <w:rFonts w:asciiTheme="minorHAnsi" w:hAnsiTheme="minorHAnsi" w:cstheme="minorHAnsi"/>
                <w:sz w:val="20"/>
                <w:szCs w:val="20"/>
              </w:rPr>
              <w:t>uzupełniony</w:t>
            </w:r>
            <w:r>
              <w:rPr>
                <w:rFonts w:asciiTheme="minorHAnsi" w:hAnsiTheme="minorHAnsi" w:cstheme="minorHAnsi"/>
                <w:sz w:val="20"/>
                <w:szCs w:val="20"/>
              </w:rPr>
              <w:t xml:space="preserve"> w </w:t>
            </w:r>
            <w:r>
              <w:rPr>
                <w:rFonts w:asciiTheme="minorHAnsi" w:hAnsiTheme="minorHAnsi" w:cstheme="minorHAnsi"/>
                <w:sz w:val="20"/>
                <w:szCs w:val="20"/>
              </w:rPr>
              <w:lastRenderedPageBreak/>
              <w:t>Programie.</w:t>
            </w:r>
          </w:p>
        </w:tc>
      </w:tr>
      <w:tr w:rsidR="00AD0C0D" w:rsidRPr="004E0927" w14:paraId="099B570D" w14:textId="77777777" w:rsidTr="003A0B1E">
        <w:tc>
          <w:tcPr>
            <w:tcW w:w="533" w:type="dxa"/>
            <w:shd w:val="clear" w:color="auto" w:fill="auto"/>
            <w:vAlign w:val="center"/>
          </w:tcPr>
          <w:p w14:paraId="224680EA" w14:textId="77777777" w:rsidR="004E0927" w:rsidRPr="004E0927" w:rsidRDefault="004E0927" w:rsidP="00DD331D">
            <w:pPr>
              <w:pStyle w:val="Akapitzlist"/>
              <w:numPr>
                <w:ilvl w:val="0"/>
                <w:numId w:val="3"/>
              </w:numPr>
              <w:spacing w:before="120" w:after="120"/>
              <w:jc w:val="center"/>
              <w:rPr>
                <w:rFonts w:asciiTheme="minorHAnsi" w:hAnsiTheme="minorHAnsi" w:cstheme="minorHAnsi"/>
                <w:b/>
                <w:sz w:val="20"/>
                <w:szCs w:val="20"/>
              </w:rPr>
            </w:pPr>
          </w:p>
        </w:tc>
        <w:tc>
          <w:tcPr>
            <w:tcW w:w="771" w:type="dxa"/>
            <w:shd w:val="clear" w:color="auto" w:fill="auto"/>
            <w:vAlign w:val="center"/>
          </w:tcPr>
          <w:p w14:paraId="05CC605C" w14:textId="77777777" w:rsidR="004E0927" w:rsidRPr="004E0927" w:rsidRDefault="004E0927" w:rsidP="001F4962">
            <w:pPr>
              <w:spacing w:before="60" w:after="60"/>
              <w:jc w:val="center"/>
              <w:rPr>
                <w:rFonts w:asciiTheme="minorHAnsi" w:hAnsiTheme="minorHAnsi" w:cstheme="minorHAnsi"/>
                <w:b/>
                <w:sz w:val="20"/>
                <w:szCs w:val="20"/>
              </w:rPr>
            </w:pPr>
            <w:proofErr w:type="spellStart"/>
            <w:r w:rsidRPr="004E0927">
              <w:rPr>
                <w:rFonts w:asciiTheme="minorHAnsi" w:hAnsiTheme="minorHAnsi" w:cstheme="minorHAnsi"/>
                <w:b/>
                <w:sz w:val="20"/>
                <w:szCs w:val="20"/>
              </w:rPr>
              <w:t>MEiN</w:t>
            </w:r>
            <w:proofErr w:type="spellEnd"/>
          </w:p>
        </w:tc>
        <w:tc>
          <w:tcPr>
            <w:tcW w:w="1318" w:type="dxa"/>
            <w:shd w:val="clear" w:color="auto" w:fill="auto"/>
          </w:tcPr>
          <w:p w14:paraId="0C996A9D" w14:textId="77777777" w:rsidR="004E0927" w:rsidRPr="004E0927" w:rsidRDefault="004E0927" w:rsidP="004D086F">
            <w:pPr>
              <w:jc w:val="center"/>
              <w:rPr>
                <w:rFonts w:asciiTheme="minorHAnsi" w:hAnsiTheme="minorHAnsi" w:cstheme="minorHAnsi"/>
                <w:sz w:val="20"/>
                <w:szCs w:val="20"/>
              </w:rPr>
            </w:pPr>
            <w:r w:rsidRPr="004E0927">
              <w:rPr>
                <w:rFonts w:asciiTheme="minorHAnsi" w:hAnsiTheme="minorHAnsi" w:cstheme="minorHAnsi"/>
                <w:sz w:val="20"/>
                <w:szCs w:val="20"/>
              </w:rPr>
              <w:t>Wyzwania związane z cyfryzacją, gospodarką 4.0, str. 13</w:t>
            </w:r>
          </w:p>
        </w:tc>
        <w:tc>
          <w:tcPr>
            <w:tcW w:w="4577" w:type="dxa"/>
            <w:shd w:val="clear" w:color="auto" w:fill="auto"/>
          </w:tcPr>
          <w:p w14:paraId="749BBD8F" w14:textId="77777777" w:rsidR="004E0927" w:rsidRPr="004E0927" w:rsidRDefault="004E0927" w:rsidP="0095289B">
            <w:pPr>
              <w:jc w:val="both"/>
              <w:rPr>
                <w:rFonts w:asciiTheme="minorHAnsi" w:hAnsiTheme="minorHAnsi" w:cstheme="minorHAnsi"/>
                <w:i/>
                <w:sz w:val="20"/>
                <w:szCs w:val="20"/>
              </w:rPr>
            </w:pPr>
            <w:r w:rsidRPr="004E0927">
              <w:rPr>
                <w:rFonts w:asciiTheme="minorHAnsi" w:hAnsiTheme="minorHAnsi" w:cstheme="minorHAnsi"/>
                <w:i/>
                <w:sz w:val="20"/>
                <w:szCs w:val="20"/>
              </w:rPr>
              <w:t xml:space="preserve">Uruchomiony zostanie system doradztwa </w:t>
            </w:r>
            <w:proofErr w:type="spellStart"/>
            <w:r w:rsidRPr="004E0927">
              <w:rPr>
                <w:rFonts w:asciiTheme="minorHAnsi" w:hAnsiTheme="minorHAnsi" w:cstheme="minorHAnsi"/>
                <w:i/>
                <w:sz w:val="20"/>
                <w:szCs w:val="20"/>
              </w:rPr>
              <w:t>Hubów</w:t>
            </w:r>
            <w:proofErr w:type="spellEnd"/>
            <w:r w:rsidRPr="004E0927">
              <w:rPr>
                <w:rFonts w:asciiTheme="minorHAnsi" w:hAnsiTheme="minorHAnsi" w:cstheme="minorHAnsi"/>
                <w:i/>
                <w:sz w:val="20"/>
                <w:szCs w:val="20"/>
              </w:rPr>
              <w:t xml:space="preserve"> Innowacji Cyfrowych (ang. </w:t>
            </w:r>
            <w:proofErr w:type="spellStart"/>
            <w:r w:rsidRPr="004E0927">
              <w:rPr>
                <w:rFonts w:asciiTheme="minorHAnsi" w:hAnsiTheme="minorHAnsi" w:cstheme="minorHAnsi"/>
                <w:i/>
                <w:sz w:val="20"/>
                <w:szCs w:val="20"/>
              </w:rPr>
              <w:t>digital</w:t>
            </w:r>
            <w:proofErr w:type="spellEnd"/>
            <w:r w:rsidRPr="004E0927">
              <w:rPr>
                <w:rFonts w:asciiTheme="minorHAnsi" w:hAnsiTheme="minorHAnsi" w:cstheme="minorHAnsi"/>
                <w:i/>
                <w:sz w:val="20"/>
                <w:szCs w:val="20"/>
              </w:rPr>
              <w:t xml:space="preserve"> </w:t>
            </w:r>
            <w:proofErr w:type="spellStart"/>
            <w:r w:rsidRPr="004E0927">
              <w:rPr>
                <w:rFonts w:asciiTheme="minorHAnsi" w:hAnsiTheme="minorHAnsi" w:cstheme="minorHAnsi"/>
                <w:i/>
                <w:sz w:val="20"/>
                <w:szCs w:val="20"/>
              </w:rPr>
              <w:t>innovation</w:t>
            </w:r>
            <w:proofErr w:type="spellEnd"/>
            <w:r w:rsidRPr="004E0927">
              <w:rPr>
                <w:rFonts w:asciiTheme="minorHAnsi" w:hAnsiTheme="minorHAnsi" w:cstheme="minorHAnsi"/>
                <w:i/>
                <w:sz w:val="20"/>
                <w:szCs w:val="20"/>
              </w:rPr>
              <w:t xml:space="preserve"> hub, dalej: DIH), w ramach którego odpowiednio wykwalifikowani specjaliści prezentować będą wymierne korzyści związane z transformacją oraz zagrożenia wynikające z zignorowania przemian globalnych, </w:t>
            </w:r>
            <w:r w:rsidRPr="004E0927">
              <w:rPr>
                <w:rFonts w:asciiTheme="minorHAnsi" w:hAnsiTheme="minorHAnsi" w:cstheme="minorHAnsi"/>
                <w:b/>
                <w:i/>
                <w:sz w:val="20"/>
                <w:szCs w:val="20"/>
              </w:rPr>
              <w:t>udostępnią infrastrukturę demonstracyjną</w:t>
            </w:r>
            <w:r w:rsidRPr="004E0927">
              <w:rPr>
                <w:rFonts w:asciiTheme="minorHAnsi" w:hAnsiTheme="minorHAnsi" w:cstheme="minorHAnsi"/>
                <w:i/>
                <w:sz w:val="20"/>
                <w:szCs w:val="20"/>
              </w:rPr>
              <w:t xml:space="preserve"> obniżającą ryzyko inwestycyjne związane z wdrażaniem nowych technologii.</w:t>
            </w:r>
          </w:p>
          <w:p w14:paraId="15C3FD74" w14:textId="77777777" w:rsidR="004E0927" w:rsidRPr="004E0927" w:rsidRDefault="004E0927" w:rsidP="0095289B">
            <w:pPr>
              <w:jc w:val="both"/>
              <w:rPr>
                <w:rFonts w:asciiTheme="minorHAnsi" w:hAnsiTheme="minorHAnsi" w:cstheme="minorHAnsi"/>
                <w:sz w:val="20"/>
                <w:szCs w:val="20"/>
              </w:rPr>
            </w:pPr>
            <w:r w:rsidRPr="004E0927">
              <w:rPr>
                <w:rFonts w:asciiTheme="minorHAnsi" w:hAnsiTheme="minorHAnsi" w:cstheme="minorHAnsi"/>
                <w:sz w:val="20"/>
                <w:szCs w:val="20"/>
              </w:rPr>
              <w:t>Treść tego fragmentu sugeruje, że to specjaliści będą udostępniać infrastrukturę demonstracyjną.</w:t>
            </w:r>
          </w:p>
        </w:tc>
        <w:tc>
          <w:tcPr>
            <w:tcW w:w="4961" w:type="dxa"/>
            <w:shd w:val="clear" w:color="auto" w:fill="auto"/>
          </w:tcPr>
          <w:p w14:paraId="1ADF1134" w14:textId="77777777" w:rsidR="004E0927" w:rsidRPr="004E0927" w:rsidRDefault="004E0927" w:rsidP="0095289B">
            <w:pPr>
              <w:jc w:val="both"/>
              <w:rPr>
                <w:rFonts w:asciiTheme="minorHAnsi" w:hAnsiTheme="minorHAnsi" w:cstheme="minorHAnsi"/>
                <w:i/>
                <w:sz w:val="20"/>
                <w:szCs w:val="20"/>
              </w:rPr>
            </w:pPr>
            <w:r w:rsidRPr="004E0927">
              <w:rPr>
                <w:rFonts w:asciiTheme="minorHAnsi" w:hAnsiTheme="minorHAnsi" w:cstheme="minorHAnsi"/>
                <w:i/>
                <w:sz w:val="20"/>
                <w:szCs w:val="20"/>
              </w:rPr>
              <w:t xml:space="preserve">Uruchomiony zostanie system doradztwa </w:t>
            </w:r>
            <w:proofErr w:type="spellStart"/>
            <w:r w:rsidRPr="004E0927">
              <w:rPr>
                <w:rFonts w:asciiTheme="minorHAnsi" w:hAnsiTheme="minorHAnsi" w:cstheme="minorHAnsi"/>
                <w:i/>
                <w:sz w:val="20"/>
                <w:szCs w:val="20"/>
              </w:rPr>
              <w:t>Hubów</w:t>
            </w:r>
            <w:proofErr w:type="spellEnd"/>
            <w:r w:rsidRPr="004E0927">
              <w:rPr>
                <w:rFonts w:asciiTheme="minorHAnsi" w:hAnsiTheme="minorHAnsi" w:cstheme="minorHAnsi"/>
                <w:i/>
                <w:sz w:val="20"/>
                <w:szCs w:val="20"/>
              </w:rPr>
              <w:t xml:space="preserve"> Innowacji Cyfrowych (ang. </w:t>
            </w:r>
            <w:r w:rsidRPr="004E0927">
              <w:rPr>
                <w:rFonts w:asciiTheme="minorHAnsi" w:hAnsiTheme="minorHAnsi" w:cstheme="minorHAnsi"/>
                <w:i/>
                <w:color w:val="FF0000"/>
                <w:sz w:val="20"/>
                <w:szCs w:val="20"/>
              </w:rPr>
              <w:t>D</w:t>
            </w:r>
            <w:r w:rsidRPr="004E0927">
              <w:rPr>
                <w:rFonts w:asciiTheme="minorHAnsi" w:hAnsiTheme="minorHAnsi" w:cstheme="minorHAnsi"/>
                <w:i/>
                <w:sz w:val="20"/>
                <w:szCs w:val="20"/>
              </w:rPr>
              <w:t xml:space="preserve">igital </w:t>
            </w:r>
            <w:proofErr w:type="spellStart"/>
            <w:r w:rsidRPr="004E0927">
              <w:rPr>
                <w:rFonts w:asciiTheme="minorHAnsi" w:hAnsiTheme="minorHAnsi" w:cstheme="minorHAnsi"/>
                <w:i/>
                <w:color w:val="FF0000"/>
                <w:sz w:val="20"/>
                <w:szCs w:val="20"/>
              </w:rPr>
              <w:t>I</w:t>
            </w:r>
            <w:r w:rsidRPr="004E0927">
              <w:rPr>
                <w:rFonts w:asciiTheme="minorHAnsi" w:hAnsiTheme="minorHAnsi" w:cstheme="minorHAnsi"/>
                <w:i/>
                <w:sz w:val="20"/>
                <w:szCs w:val="20"/>
              </w:rPr>
              <w:t>nnovation</w:t>
            </w:r>
            <w:proofErr w:type="spellEnd"/>
            <w:r w:rsidRPr="004E0927">
              <w:rPr>
                <w:rFonts w:asciiTheme="minorHAnsi" w:hAnsiTheme="minorHAnsi" w:cstheme="minorHAnsi"/>
                <w:i/>
                <w:sz w:val="20"/>
                <w:szCs w:val="20"/>
              </w:rPr>
              <w:t xml:space="preserve"> </w:t>
            </w:r>
            <w:r w:rsidRPr="004E0927">
              <w:rPr>
                <w:rFonts w:asciiTheme="minorHAnsi" w:hAnsiTheme="minorHAnsi" w:cstheme="minorHAnsi"/>
                <w:i/>
                <w:color w:val="FF0000"/>
                <w:sz w:val="20"/>
                <w:szCs w:val="20"/>
              </w:rPr>
              <w:t>H</w:t>
            </w:r>
            <w:r w:rsidRPr="004E0927">
              <w:rPr>
                <w:rFonts w:asciiTheme="minorHAnsi" w:hAnsiTheme="minorHAnsi" w:cstheme="minorHAnsi"/>
                <w:i/>
                <w:sz w:val="20"/>
                <w:szCs w:val="20"/>
              </w:rPr>
              <w:t>ub, dalej: DIH), w ramach którego odpowiednio wykwalifikowani specjaliści prezentować będą wymierne korzyści związane z transformacją oraz zagrożenia wynikające z</w:t>
            </w:r>
            <w:r w:rsidRPr="004E0927">
              <w:rPr>
                <w:rFonts w:asciiTheme="minorHAnsi" w:hAnsiTheme="minorHAnsi" w:cstheme="minorHAnsi"/>
                <w:i/>
                <w:color w:val="FF0000"/>
                <w:sz w:val="20"/>
                <w:szCs w:val="20"/>
              </w:rPr>
              <w:t>e</w:t>
            </w:r>
            <w:r w:rsidRPr="004E0927">
              <w:rPr>
                <w:rFonts w:asciiTheme="minorHAnsi" w:hAnsiTheme="minorHAnsi" w:cstheme="minorHAnsi"/>
                <w:i/>
                <w:sz w:val="20"/>
                <w:szCs w:val="20"/>
              </w:rPr>
              <w:t xml:space="preserve"> zignorowania przemian globalnych</w:t>
            </w:r>
            <w:r w:rsidRPr="004E0927">
              <w:rPr>
                <w:rFonts w:asciiTheme="minorHAnsi" w:hAnsiTheme="minorHAnsi" w:cstheme="minorHAnsi"/>
                <w:i/>
                <w:color w:val="FF0000"/>
                <w:sz w:val="20"/>
                <w:szCs w:val="20"/>
              </w:rPr>
              <w:t xml:space="preserve">. </w:t>
            </w:r>
            <w:proofErr w:type="spellStart"/>
            <w:r w:rsidRPr="004E0927">
              <w:rPr>
                <w:rFonts w:asciiTheme="minorHAnsi" w:hAnsiTheme="minorHAnsi" w:cstheme="minorHAnsi"/>
                <w:i/>
                <w:color w:val="FF0000"/>
                <w:sz w:val="20"/>
                <w:szCs w:val="20"/>
              </w:rPr>
              <w:t>DIHy</w:t>
            </w:r>
            <w:proofErr w:type="spellEnd"/>
            <w:r w:rsidRPr="004E0927">
              <w:rPr>
                <w:rFonts w:asciiTheme="minorHAnsi" w:hAnsiTheme="minorHAnsi" w:cstheme="minorHAnsi"/>
                <w:i/>
                <w:sz w:val="20"/>
                <w:szCs w:val="20"/>
              </w:rPr>
              <w:t xml:space="preserve"> udostępnią </w:t>
            </w:r>
            <w:r w:rsidRPr="004E0927">
              <w:rPr>
                <w:rFonts w:asciiTheme="minorHAnsi" w:hAnsiTheme="minorHAnsi" w:cstheme="minorHAnsi"/>
                <w:i/>
                <w:color w:val="FF0000"/>
                <w:sz w:val="20"/>
                <w:szCs w:val="20"/>
              </w:rPr>
              <w:t xml:space="preserve">również </w:t>
            </w:r>
            <w:r w:rsidRPr="004E0927">
              <w:rPr>
                <w:rFonts w:asciiTheme="minorHAnsi" w:hAnsiTheme="minorHAnsi" w:cstheme="minorHAnsi"/>
                <w:i/>
                <w:sz w:val="20"/>
                <w:szCs w:val="20"/>
              </w:rPr>
              <w:t>infrastrukturę demonstracyjną obniżającą ryzyko inwestycyjne związane z wdrażaniem nowych technologii.</w:t>
            </w:r>
          </w:p>
        </w:tc>
        <w:tc>
          <w:tcPr>
            <w:tcW w:w="1701" w:type="dxa"/>
          </w:tcPr>
          <w:p w14:paraId="7AA3A4FF" w14:textId="77777777" w:rsidR="004E0927" w:rsidRPr="004E0927" w:rsidRDefault="00C35D49" w:rsidP="004D086F">
            <w:pPr>
              <w:jc w:val="center"/>
              <w:rPr>
                <w:rFonts w:asciiTheme="minorHAnsi" w:hAnsiTheme="minorHAnsi" w:cstheme="minorHAnsi"/>
                <w:sz w:val="20"/>
                <w:szCs w:val="20"/>
              </w:rPr>
            </w:pPr>
            <w:r>
              <w:rPr>
                <w:rFonts w:asciiTheme="minorHAnsi" w:hAnsiTheme="minorHAnsi" w:cstheme="minorHAnsi"/>
                <w:sz w:val="20"/>
                <w:szCs w:val="20"/>
              </w:rPr>
              <w:t>uwzględniona</w:t>
            </w:r>
          </w:p>
        </w:tc>
        <w:tc>
          <w:tcPr>
            <w:tcW w:w="1900" w:type="dxa"/>
          </w:tcPr>
          <w:p w14:paraId="72FDB1CF" w14:textId="3DFC46C3" w:rsidR="004E0927" w:rsidRPr="004E0927" w:rsidRDefault="00FC481B" w:rsidP="004D086F">
            <w:pPr>
              <w:jc w:val="center"/>
              <w:rPr>
                <w:rFonts w:asciiTheme="minorHAnsi" w:hAnsiTheme="minorHAnsi" w:cstheme="minorHAnsi"/>
                <w:sz w:val="20"/>
                <w:szCs w:val="20"/>
              </w:rPr>
            </w:pPr>
            <w:r>
              <w:rPr>
                <w:rFonts w:asciiTheme="minorHAnsi" w:hAnsiTheme="minorHAnsi" w:cstheme="minorHAnsi"/>
                <w:sz w:val="20"/>
                <w:szCs w:val="20"/>
              </w:rPr>
              <w:t xml:space="preserve">Zapis został </w:t>
            </w:r>
            <w:r w:rsidR="00C35D49">
              <w:rPr>
                <w:rFonts w:asciiTheme="minorHAnsi" w:hAnsiTheme="minorHAnsi" w:cstheme="minorHAnsi"/>
                <w:sz w:val="20"/>
                <w:szCs w:val="20"/>
              </w:rPr>
              <w:t>uzupełniony</w:t>
            </w:r>
            <w:r>
              <w:rPr>
                <w:rFonts w:asciiTheme="minorHAnsi" w:hAnsiTheme="minorHAnsi" w:cstheme="minorHAnsi"/>
                <w:sz w:val="20"/>
                <w:szCs w:val="20"/>
              </w:rPr>
              <w:t xml:space="preserve"> w Programie.</w:t>
            </w:r>
          </w:p>
        </w:tc>
      </w:tr>
      <w:tr w:rsidR="00AD0C0D" w:rsidRPr="004E0927" w14:paraId="569ED397" w14:textId="77777777" w:rsidTr="003A0B1E">
        <w:tc>
          <w:tcPr>
            <w:tcW w:w="533" w:type="dxa"/>
            <w:shd w:val="clear" w:color="auto" w:fill="auto"/>
            <w:vAlign w:val="center"/>
          </w:tcPr>
          <w:p w14:paraId="27674326" w14:textId="77777777" w:rsidR="004E0927" w:rsidRPr="004E0927" w:rsidRDefault="004E0927" w:rsidP="00DD331D">
            <w:pPr>
              <w:pStyle w:val="Akapitzlist"/>
              <w:numPr>
                <w:ilvl w:val="0"/>
                <w:numId w:val="3"/>
              </w:numPr>
              <w:spacing w:before="120" w:after="120"/>
              <w:jc w:val="center"/>
              <w:rPr>
                <w:rFonts w:asciiTheme="minorHAnsi" w:hAnsiTheme="minorHAnsi" w:cstheme="minorHAnsi"/>
                <w:b/>
                <w:sz w:val="20"/>
                <w:szCs w:val="20"/>
              </w:rPr>
            </w:pPr>
          </w:p>
        </w:tc>
        <w:tc>
          <w:tcPr>
            <w:tcW w:w="771" w:type="dxa"/>
            <w:shd w:val="clear" w:color="auto" w:fill="auto"/>
            <w:vAlign w:val="center"/>
          </w:tcPr>
          <w:p w14:paraId="3F87CFD6" w14:textId="77777777" w:rsidR="004E0927" w:rsidRPr="004E0927" w:rsidRDefault="004E0927" w:rsidP="001F4962">
            <w:pPr>
              <w:spacing w:before="60" w:after="60"/>
              <w:jc w:val="center"/>
              <w:rPr>
                <w:rFonts w:asciiTheme="minorHAnsi" w:hAnsiTheme="minorHAnsi" w:cstheme="minorHAnsi"/>
                <w:b/>
                <w:sz w:val="20"/>
                <w:szCs w:val="20"/>
              </w:rPr>
            </w:pPr>
            <w:r w:rsidRPr="004E0927">
              <w:rPr>
                <w:rFonts w:asciiTheme="minorHAnsi" w:hAnsiTheme="minorHAnsi" w:cstheme="minorHAnsi"/>
                <w:b/>
                <w:sz w:val="20"/>
                <w:szCs w:val="20"/>
              </w:rPr>
              <w:t>MEiN</w:t>
            </w:r>
          </w:p>
        </w:tc>
        <w:tc>
          <w:tcPr>
            <w:tcW w:w="1318" w:type="dxa"/>
            <w:shd w:val="clear" w:color="auto" w:fill="auto"/>
          </w:tcPr>
          <w:p w14:paraId="583D2613" w14:textId="77777777" w:rsidR="004E0927" w:rsidRPr="004E0927" w:rsidRDefault="004E0927" w:rsidP="004D086F">
            <w:pPr>
              <w:jc w:val="center"/>
              <w:rPr>
                <w:rFonts w:asciiTheme="minorHAnsi" w:hAnsiTheme="minorHAnsi" w:cstheme="minorHAnsi"/>
                <w:sz w:val="20"/>
                <w:szCs w:val="20"/>
              </w:rPr>
            </w:pPr>
            <w:r w:rsidRPr="004E0927">
              <w:rPr>
                <w:rFonts w:asciiTheme="minorHAnsi" w:hAnsiTheme="minorHAnsi" w:cstheme="minorHAnsi"/>
                <w:sz w:val="20"/>
                <w:szCs w:val="20"/>
              </w:rPr>
              <w:t>Uwaga ogólna</w:t>
            </w:r>
          </w:p>
        </w:tc>
        <w:tc>
          <w:tcPr>
            <w:tcW w:w="4577" w:type="dxa"/>
            <w:shd w:val="clear" w:color="auto" w:fill="auto"/>
          </w:tcPr>
          <w:p w14:paraId="3CEA7EDE" w14:textId="77777777" w:rsidR="004E0927" w:rsidRPr="004E0927" w:rsidRDefault="004E0927" w:rsidP="0095289B">
            <w:pPr>
              <w:jc w:val="both"/>
              <w:rPr>
                <w:rFonts w:asciiTheme="minorHAnsi" w:hAnsiTheme="minorHAnsi" w:cstheme="minorHAnsi"/>
                <w:sz w:val="20"/>
                <w:szCs w:val="20"/>
              </w:rPr>
            </w:pPr>
            <w:r w:rsidRPr="004E0927">
              <w:rPr>
                <w:rFonts w:asciiTheme="minorHAnsi" w:hAnsiTheme="minorHAnsi" w:cstheme="minorHAnsi"/>
                <w:sz w:val="20"/>
                <w:szCs w:val="20"/>
              </w:rPr>
              <w:t>Dokument wymaga korekty pod względem językowym i interpunkcyjnym.</w:t>
            </w:r>
          </w:p>
        </w:tc>
        <w:tc>
          <w:tcPr>
            <w:tcW w:w="4961" w:type="dxa"/>
            <w:shd w:val="clear" w:color="auto" w:fill="auto"/>
          </w:tcPr>
          <w:p w14:paraId="0B11EDEF" w14:textId="77777777" w:rsidR="004E0927" w:rsidRPr="004E0927" w:rsidRDefault="004E0927" w:rsidP="0095289B">
            <w:pPr>
              <w:jc w:val="both"/>
              <w:rPr>
                <w:rFonts w:asciiTheme="minorHAnsi" w:hAnsiTheme="minorHAnsi" w:cstheme="minorHAnsi"/>
                <w:sz w:val="20"/>
                <w:szCs w:val="20"/>
              </w:rPr>
            </w:pPr>
          </w:p>
        </w:tc>
        <w:tc>
          <w:tcPr>
            <w:tcW w:w="1701" w:type="dxa"/>
          </w:tcPr>
          <w:p w14:paraId="49E190C9" w14:textId="77777777" w:rsidR="004E0927" w:rsidRPr="004E0927" w:rsidRDefault="00C35D49" w:rsidP="004D086F">
            <w:pPr>
              <w:jc w:val="center"/>
              <w:rPr>
                <w:rFonts w:asciiTheme="minorHAnsi" w:hAnsiTheme="minorHAnsi" w:cstheme="minorHAnsi"/>
                <w:sz w:val="20"/>
                <w:szCs w:val="20"/>
              </w:rPr>
            </w:pPr>
            <w:r>
              <w:rPr>
                <w:rFonts w:asciiTheme="minorHAnsi" w:hAnsiTheme="minorHAnsi" w:cstheme="minorHAnsi"/>
                <w:sz w:val="20"/>
                <w:szCs w:val="20"/>
              </w:rPr>
              <w:t>uwzględniona</w:t>
            </w:r>
          </w:p>
        </w:tc>
        <w:tc>
          <w:tcPr>
            <w:tcW w:w="1900" w:type="dxa"/>
          </w:tcPr>
          <w:p w14:paraId="7E07AA7D" w14:textId="77777777" w:rsidR="00FC481B" w:rsidRDefault="00FC481B" w:rsidP="00FC481B">
            <w:pPr>
              <w:jc w:val="center"/>
              <w:rPr>
                <w:rFonts w:asciiTheme="minorHAnsi" w:hAnsiTheme="minorHAnsi" w:cstheme="minorHAnsi"/>
                <w:sz w:val="20"/>
                <w:szCs w:val="20"/>
              </w:rPr>
            </w:pPr>
            <w:r>
              <w:rPr>
                <w:rFonts w:asciiTheme="minorHAnsi" w:hAnsiTheme="minorHAnsi" w:cstheme="minorHAnsi"/>
                <w:sz w:val="20"/>
                <w:szCs w:val="20"/>
              </w:rPr>
              <w:t>Dokument został skorygowany</w:t>
            </w:r>
          </w:p>
          <w:p w14:paraId="6D7C5A3D" w14:textId="072476DF" w:rsidR="004E0927" w:rsidRPr="004E0927" w:rsidRDefault="00C35D49" w:rsidP="00FC481B">
            <w:pPr>
              <w:jc w:val="center"/>
              <w:rPr>
                <w:rFonts w:asciiTheme="minorHAnsi" w:hAnsiTheme="minorHAnsi" w:cstheme="minorHAnsi"/>
                <w:sz w:val="20"/>
                <w:szCs w:val="20"/>
              </w:rPr>
            </w:pPr>
            <w:r>
              <w:rPr>
                <w:rFonts w:asciiTheme="minorHAnsi" w:hAnsiTheme="minorHAnsi" w:cstheme="minorHAnsi"/>
                <w:sz w:val="20"/>
                <w:szCs w:val="20"/>
              </w:rPr>
              <w:t xml:space="preserve">. </w:t>
            </w:r>
          </w:p>
        </w:tc>
      </w:tr>
      <w:tr w:rsidR="00AD0C0D" w:rsidRPr="004E0927" w14:paraId="4D76079C" w14:textId="77777777" w:rsidTr="003A0B1E">
        <w:tc>
          <w:tcPr>
            <w:tcW w:w="533" w:type="dxa"/>
            <w:shd w:val="clear" w:color="auto" w:fill="auto"/>
            <w:vAlign w:val="center"/>
          </w:tcPr>
          <w:p w14:paraId="26282465" w14:textId="77777777" w:rsidR="004E0927" w:rsidRPr="004E0927" w:rsidRDefault="004E0927" w:rsidP="00DD331D">
            <w:pPr>
              <w:pStyle w:val="Akapitzlist"/>
              <w:numPr>
                <w:ilvl w:val="0"/>
                <w:numId w:val="3"/>
              </w:numPr>
              <w:spacing w:before="120" w:after="120"/>
              <w:jc w:val="center"/>
              <w:rPr>
                <w:rFonts w:asciiTheme="minorHAnsi" w:hAnsiTheme="minorHAnsi" w:cstheme="minorHAnsi"/>
                <w:b/>
                <w:sz w:val="20"/>
                <w:szCs w:val="20"/>
              </w:rPr>
            </w:pPr>
          </w:p>
        </w:tc>
        <w:tc>
          <w:tcPr>
            <w:tcW w:w="771" w:type="dxa"/>
            <w:shd w:val="clear" w:color="auto" w:fill="auto"/>
            <w:vAlign w:val="center"/>
          </w:tcPr>
          <w:p w14:paraId="6D08F6AE" w14:textId="77777777" w:rsidR="004E0927" w:rsidRPr="004E0927" w:rsidRDefault="004E0927" w:rsidP="001F4962">
            <w:pPr>
              <w:spacing w:before="60" w:after="60"/>
              <w:jc w:val="center"/>
              <w:rPr>
                <w:rFonts w:asciiTheme="minorHAnsi" w:hAnsiTheme="minorHAnsi" w:cstheme="minorHAnsi"/>
                <w:b/>
                <w:sz w:val="20"/>
                <w:szCs w:val="20"/>
              </w:rPr>
            </w:pPr>
            <w:r w:rsidRPr="004E0927">
              <w:rPr>
                <w:rFonts w:asciiTheme="minorHAnsi" w:hAnsiTheme="minorHAnsi" w:cstheme="minorHAnsi"/>
                <w:b/>
                <w:sz w:val="20"/>
                <w:szCs w:val="20"/>
              </w:rPr>
              <w:t>MEiN</w:t>
            </w:r>
          </w:p>
        </w:tc>
        <w:tc>
          <w:tcPr>
            <w:tcW w:w="1318" w:type="dxa"/>
            <w:shd w:val="clear" w:color="auto" w:fill="auto"/>
          </w:tcPr>
          <w:p w14:paraId="0BEC4FB3" w14:textId="77777777" w:rsidR="004E0927" w:rsidRPr="004E0927" w:rsidRDefault="004E0927" w:rsidP="004D086F">
            <w:pPr>
              <w:jc w:val="center"/>
              <w:rPr>
                <w:rFonts w:asciiTheme="minorHAnsi" w:hAnsiTheme="minorHAnsi" w:cstheme="minorHAnsi"/>
                <w:sz w:val="20"/>
                <w:szCs w:val="20"/>
              </w:rPr>
            </w:pPr>
            <w:r w:rsidRPr="004E0927">
              <w:rPr>
                <w:rFonts w:asciiTheme="minorHAnsi" w:hAnsiTheme="minorHAnsi" w:cstheme="minorHAnsi"/>
                <w:sz w:val="20"/>
                <w:szCs w:val="20"/>
              </w:rPr>
              <w:t>Moduł – Cyfryzacja, str. 24</w:t>
            </w:r>
          </w:p>
        </w:tc>
        <w:tc>
          <w:tcPr>
            <w:tcW w:w="4577" w:type="dxa"/>
            <w:shd w:val="clear" w:color="auto" w:fill="auto"/>
          </w:tcPr>
          <w:p w14:paraId="03BA3B75" w14:textId="77777777" w:rsidR="004E0927" w:rsidRPr="004E0927" w:rsidRDefault="004E0927" w:rsidP="0095289B">
            <w:pPr>
              <w:jc w:val="both"/>
              <w:rPr>
                <w:rFonts w:asciiTheme="minorHAnsi" w:hAnsiTheme="minorHAnsi" w:cstheme="minorHAnsi"/>
                <w:sz w:val="20"/>
                <w:szCs w:val="20"/>
              </w:rPr>
            </w:pPr>
            <w:r w:rsidRPr="004E0927">
              <w:rPr>
                <w:rFonts w:asciiTheme="minorHAnsi" w:hAnsiTheme="minorHAnsi" w:cstheme="minorHAnsi"/>
                <w:i/>
                <w:sz w:val="20"/>
                <w:szCs w:val="20"/>
              </w:rPr>
              <w:t>Wsparcie przeznaczone jest na finansowanie inwestycji związanych z zastosowaniem rozwiązań w przedsiębiorstwie zmierzających do cyfryzacji produkcji, procesów w przedsiębiorstwie, jaki również do cyfryzacji produktów, usług, modelu biznesowego. Wsparcie przeznaczone będzie również na podniesienie poziomu cyberbezpieczeństwa w przedsiębiorstwach.</w:t>
            </w:r>
            <w:r w:rsidRPr="004E0927">
              <w:rPr>
                <w:rFonts w:asciiTheme="minorHAnsi" w:hAnsiTheme="minorHAnsi" w:cstheme="minorHAnsi"/>
                <w:sz w:val="20"/>
                <w:szCs w:val="20"/>
              </w:rPr>
              <w:t xml:space="preserve"> – akapit wymaga przeredagowania.</w:t>
            </w:r>
          </w:p>
        </w:tc>
        <w:tc>
          <w:tcPr>
            <w:tcW w:w="4961" w:type="dxa"/>
            <w:shd w:val="clear" w:color="auto" w:fill="auto"/>
          </w:tcPr>
          <w:p w14:paraId="1A87982D" w14:textId="77777777" w:rsidR="004E0927" w:rsidRPr="004E0927" w:rsidRDefault="004E0927" w:rsidP="0095289B">
            <w:pPr>
              <w:jc w:val="both"/>
              <w:rPr>
                <w:rFonts w:asciiTheme="minorHAnsi" w:hAnsiTheme="minorHAnsi" w:cstheme="minorHAnsi"/>
                <w:i/>
                <w:sz w:val="20"/>
                <w:szCs w:val="20"/>
              </w:rPr>
            </w:pPr>
            <w:r w:rsidRPr="004E0927">
              <w:rPr>
                <w:rFonts w:asciiTheme="minorHAnsi" w:hAnsiTheme="minorHAnsi" w:cstheme="minorHAnsi"/>
                <w:i/>
                <w:sz w:val="20"/>
                <w:szCs w:val="20"/>
              </w:rPr>
              <w:t>Wsparcie przeznaczone jest na finansowanie inwestycji związanych z zastosowaniem w przedsiębiorstwie rozwiązań zmierzających do cyfryzacji: produkcji, procesów, produktów, usług oraz modelu biznesowego. Wsparcie przeznaczone będzie również na podniesienie poziomu cyberbezpieczeństwa w przedsiębiorstwach.</w:t>
            </w:r>
          </w:p>
        </w:tc>
        <w:tc>
          <w:tcPr>
            <w:tcW w:w="1701" w:type="dxa"/>
          </w:tcPr>
          <w:p w14:paraId="5EE5B151" w14:textId="77777777" w:rsidR="004E0927" w:rsidRPr="004E0927" w:rsidRDefault="004E0927" w:rsidP="004D086F">
            <w:pPr>
              <w:jc w:val="center"/>
              <w:rPr>
                <w:rFonts w:asciiTheme="minorHAnsi" w:hAnsiTheme="minorHAnsi" w:cstheme="minorHAnsi"/>
                <w:sz w:val="20"/>
                <w:szCs w:val="20"/>
              </w:rPr>
            </w:pPr>
            <w:r>
              <w:rPr>
                <w:rFonts w:asciiTheme="minorHAnsi" w:hAnsiTheme="minorHAnsi" w:cstheme="minorHAnsi"/>
                <w:sz w:val="20"/>
                <w:szCs w:val="20"/>
              </w:rPr>
              <w:t>uwzględniona</w:t>
            </w:r>
          </w:p>
        </w:tc>
        <w:tc>
          <w:tcPr>
            <w:tcW w:w="1900" w:type="dxa"/>
          </w:tcPr>
          <w:p w14:paraId="2CD04865" w14:textId="51239A7A" w:rsidR="004E0927" w:rsidRPr="004E0927" w:rsidRDefault="00D42B94" w:rsidP="004D086F">
            <w:pPr>
              <w:jc w:val="center"/>
              <w:rPr>
                <w:rFonts w:asciiTheme="minorHAnsi" w:hAnsiTheme="minorHAnsi" w:cstheme="minorHAnsi"/>
                <w:sz w:val="20"/>
                <w:szCs w:val="20"/>
              </w:rPr>
            </w:pPr>
            <w:r>
              <w:rPr>
                <w:rFonts w:asciiTheme="minorHAnsi" w:hAnsiTheme="minorHAnsi" w:cstheme="minorHAnsi"/>
                <w:sz w:val="20"/>
                <w:szCs w:val="20"/>
              </w:rPr>
              <w:t xml:space="preserve">Zapis został </w:t>
            </w:r>
            <w:r w:rsidR="00C35D49">
              <w:rPr>
                <w:rFonts w:asciiTheme="minorHAnsi" w:hAnsiTheme="minorHAnsi" w:cstheme="minorHAnsi"/>
                <w:sz w:val="20"/>
                <w:szCs w:val="20"/>
              </w:rPr>
              <w:t>poprawiony</w:t>
            </w:r>
            <w:r>
              <w:rPr>
                <w:rFonts w:asciiTheme="minorHAnsi" w:hAnsiTheme="minorHAnsi" w:cstheme="minorHAnsi"/>
                <w:sz w:val="20"/>
                <w:szCs w:val="20"/>
              </w:rPr>
              <w:t xml:space="preserve"> w Programie.</w:t>
            </w:r>
          </w:p>
        </w:tc>
      </w:tr>
      <w:tr w:rsidR="00AD0C0D" w:rsidRPr="004E0927" w14:paraId="70A5FE07" w14:textId="77777777" w:rsidTr="003A0B1E">
        <w:tc>
          <w:tcPr>
            <w:tcW w:w="533" w:type="dxa"/>
            <w:shd w:val="clear" w:color="auto" w:fill="auto"/>
            <w:vAlign w:val="center"/>
          </w:tcPr>
          <w:p w14:paraId="440EB8FF" w14:textId="77777777" w:rsidR="004E0927" w:rsidRPr="004E0927" w:rsidRDefault="004E0927" w:rsidP="00DD331D">
            <w:pPr>
              <w:pStyle w:val="Akapitzlist"/>
              <w:numPr>
                <w:ilvl w:val="0"/>
                <w:numId w:val="3"/>
              </w:numPr>
              <w:spacing w:before="120" w:after="120"/>
              <w:jc w:val="center"/>
              <w:rPr>
                <w:rFonts w:asciiTheme="minorHAnsi" w:hAnsiTheme="minorHAnsi" w:cstheme="minorHAnsi"/>
                <w:b/>
                <w:sz w:val="20"/>
                <w:szCs w:val="20"/>
              </w:rPr>
            </w:pPr>
          </w:p>
        </w:tc>
        <w:tc>
          <w:tcPr>
            <w:tcW w:w="771" w:type="dxa"/>
            <w:shd w:val="clear" w:color="auto" w:fill="auto"/>
            <w:vAlign w:val="center"/>
          </w:tcPr>
          <w:p w14:paraId="03DBF9DD" w14:textId="77777777" w:rsidR="004E0927" w:rsidRPr="004E0927" w:rsidRDefault="004E0927" w:rsidP="001F4962">
            <w:pPr>
              <w:spacing w:before="60" w:after="60"/>
              <w:jc w:val="center"/>
              <w:rPr>
                <w:rFonts w:asciiTheme="minorHAnsi" w:hAnsiTheme="minorHAnsi" w:cstheme="minorHAnsi"/>
                <w:b/>
                <w:sz w:val="20"/>
                <w:szCs w:val="20"/>
              </w:rPr>
            </w:pPr>
            <w:r w:rsidRPr="004E0927">
              <w:rPr>
                <w:rFonts w:asciiTheme="minorHAnsi" w:hAnsiTheme="minorHAnsi" w:cstheme="minorHAnsi"/>
                <w:b/>
                <w:sz w:val="20"/>
                <w:szCs w:val="20"/>
              </w:rPr>
              <w:t>MEiN</w:t>
            </w:r>
          </w:p>
        </w:tc>
        <w:tc>
          <w:tcPr>
            <w:tcW w:w="1318" w:type="dxa"/>
            <w:shd w:val="clear" w:color="auto" w:fill="auto"/>
          </w:tcPr>
          <w:p w14:paraId="290D43FE" w14:textId="77777777" w:rsidR="004E0927" w:rsidRPr="004E0927" w:rsidRDefault="004E0927" w:rsidP="004D086F">
            <w:pPr>
              <w:jc w:val="center"/>
              <w:rPr>
                <w:rFonts w:asciiTheme="minorHAnsi" w:hAnsiTheme="minorHAnsi" w:cstheme="minorHAnsi"/>
                <w:sz w:val="20"/>
                <w:szCs w:val="20"/>
              </w:rPr>
            </w:pPr>
            <w:r w:rsidRPr="004E0927">
              <w:rPr>
                <w:rFonts w:asciiTheme="minorHAnsi" w:hAnsiTheme="minorHAnsi" w:cstheme="minorHAnsi"/>
                <w:sz w:val="20"/>
                <w:szCs w:val="20"/>
              </w:rPr>
              <w:t>Główne grupy docelowe, str. 25</w:t>
            </w:r>
          </w:p>
        </w:tc>
        <w:tc>
          <w:tcPr>
            <w:tcW w:w="4577" w:type="dxa"/>
            <w:shd w:val="clear" w:color="auto" w:fill="auto"/>
          </w:tcPr>
          <w:p w14:paraId="7CF61D4B" w14:textId="77777777" w:rsidR="004E0927" w:rsidRPr="004E0927" w:rsidRDefault="004E0927" w:rsidP="0095289B">
            <w:pPr>
              <w:jc w:val="both"/>
              <w:rPr>
                <w:rFonts w:asciiTheme="minorHAnsi" w:hAnsiTheme="minorHAnsi" w:cstheme="minorHAnsi"/>
                <w:i/>
                <w:sz w:val="20"/>
                <w:szCs w:val="20"/>
              </w:rPr>
            </w:pPr>
            <w:r w:rsidRPr="004E0927">
              <w:rPr>
                <w:rFonts w:asciiTheme="minorHAnsi" w:hAnsiTheme="minorHAnsi" w:cstheme="minorHAnsi"/>
                <w:i/>
                <w:sz w:val="20"/>
                <w:szCs w:val="20"/>
              </w:rPr>
              <w:t>Wsparcie udzielane jest przez 2 Instytucje Pośredniczące (IP), do których projekty przypisywane są zależnie od typu Wnioskodawcy:</w:t>
            </w:r>
          </w:p>
          <w:p w14:paraId="08CEC507" w14:textId="77777777" w:rsidR="004E0927" w:rsidRPr="004E0927" w:rsidRDefault="004E0927" w:rsidP="0095289B">
            <w:pPr>
              <w:jc w:val="both"/>
              <w:rPr>
                <w:rFonts w:asciiTheme="minorHAnsi" w:hAnsiTheme="minorHAnsi" w:cstheme="minorHAnsi"/>
                <w:i/>
                <w:sz w:val="20"/>
                <w:szCs w:val="20"/>
              </w:rPr>
            </w:pPr>
            <w:r w:rsidRPr="004E0927">
              <w:rPr>
                <w:rFonts w:asciiTheme="minorHAnsi" w:hAnsiTheme="minorHAnsi" w:cstheme="minorHAnsi"/>
                <w:i/>
                <w:sz w:val="20"/>
                <w:szCs w:val="20"/>
              </w:rPr>
              <w:t xml:space="preserve">- Polską Agencję Rozwoju Przedsiębiorczości (PARP) – wyłącznie </w:t>
            </w:r>
            <w:r w:rsidRPr="004E0927">
              <w:rPr>
                <w:rFonts w:asciiTheme="minorHAnsi" w:hAnsiTheme="minorHAnsi" w:cstheme="minorHAnsi"/>
                <w:b/>
                <w:i/>
                <w:sz w:val="20"/>
                <w:szCs w:val="20"/>
              </w:rPr>
              <w:t>MSP</w:t>
            </w:r>
            <w:r w:rsidRPr="004E0927">
              <w:rPr>
                <w:rFonts w:asciiTheme="minorHAnsi" w:hAnsiTheme="minorHAnsi" w:cstheme="minorHAnsi"/>
                <w:i/>
                <w:sz w:val="20"/>
                <w:szCs w:val="20"/>
              </w:rPr>
              <w:t xml:space="preserve"> i ich konsorcja;</w:t>
            </w:r>
          </w:p>
          <w:p w14:paraId="7F695DE7" w14:textId="77777777" w:rsidR="004E0927" w:rsidRPr="004E0927" w:rsidRDefault="004E0927" w:rsidP="0095289B">
            <w:pPr>
              <w:jc w:val="both"/>
              <w:rPr>
                <w:rFonts w:asciiTheme="minorHAnsi" w:hAnsiTheme="minorHAnsi" w:cstheme="minorHAnsi"/>
                <w:sz w:val="20"/>
                <w:szCs w:val="20"/>
              </w:rPr>
            </w:pPr>
            <w:r w:rsidRPr="004E0927">
              <w:rPr>
                <w:rFonts w:asciiTheme="minorHAnsi" w:hAnsiTheme="minorHAnsi" w:cstheme="minorHAnsi"/>
                <w:i/>
                <w:sz w:val="20"/>
                <w:szCs w:val="20"/>
              </w:rPr>
              <w:t xml:space="preserve">- Narodowe Centrum Badań i Rozwoju (NCBR) – duże </w:t>
            </w:r>
            <w:r w:rsidRPr="004E0927">
              <w:rPr>
                <w:rFonts w:asciiTheme="minorHAnsi" w:hAnsiTheme="minorHAnsi" w:cstheme="minorHAnsi"/>
                <w:i/>
                <w:sz w:val="20"/>
                <w:szCs w:val="20"/>
              </w:rPr>
              <w:lastRenderedPageBreak/>
              <w:t xml:space="preserve">przedsiębiorstwa oraz konsorcja z </w:t>
            </w:r>
            <w:r w:rsidRPr="004E0927">
              <w:rPr>
                <w:rFonts w:asciiTheme="minorHAnsi" w:hAnsiTheme="minorHAnsi" w:cstheme="minorHAnsi"/>
                <w:b/>
                <w:i/>
                <w:sz w:val="20"/>
                <w:szCs w:val="20"/>
              </w:rPr>
              <w:t>MSP</w:t>
            </w:r>
            <w:r w:rsidRPr="004E0927">
              <w:rPr>
                <w:rFonts w:asciiTheme="minorHAnsi" w:hAnsiTheme="minorHAnsi" w:cstheme="minorHAnsi"/>
                <w:i/>
                <w:sz w:val="20"/>
                <w:szCs w:val="20"/>
              </w:rPr>
              <w:t xml:space="preserve"> i organizacjami badawczymi oraz organizacjami pozarządowymi, a także konsorcja </w:t>
            </w:r>
            <w:r w:rsidRPr="004E0927">
              <w:rPr>
                <w:rFonts w:asciiTheme="minorHAnsi" w:hAnsiTheme="minorHAnsi" w:cstheme="minorHAnsi"/>
                <w:b/>
                <w:i/>
                <w:sz w:val="20"/>
                <w:szCs w:val="20"/>
              </w:rPr>
              <w:t>MSP</w:t>
            </w:r>
            <w:r w:rsidRPr="004E0927">
              <w:rPr>
                <w:rFonts w:asciiTheme="minorHAnsi" w:hAnsiTheme="minorHAnsi" w:cstheme="minorHAnsi"/>
                <w:i/>
                <w:sz w:val="20"/>
                <w:szCs w:val="20"/>
              </w:rPr>
              <w:t xml:space="preserve">                    z organizacjami badawczymi oraz organizacjami pozarządowymi.</w:t>
            </w:r>
          </w:p>
        </w:tc>
        <w:tc>
          <w:tcPr>
            <w:tcW w:w="4961" w:type="dxa"/>
            <w:shd w:val="clear" w:color="auto" w:fill="auto"/>
          </w:tcPr>
          <w:p w14:paraId="0844683F" w14:textId="77777777" w:rsidR="004E0927" w:rsidRPr="004E0927" w:rsidRDefault="004E0927" w:rsidP="0095289B">
            <w:pPr>
              <w:jc w:val="both"/>
              <w:rPr>
                <w:rFonts w:asciiTheme="minorHAnsi" w:hAnsiTheme="minorHAnsi" w:cstheme="minorHAnsi"/>
                <w:sz w:val="20"/>
                <w:szCs w:val="20"/>
              </w:rPr>
            </w:pPr>
            <w:r w:rsidRPr="004E0927">
              <w:rPr>
                <w:rFonts w:asciiTheme="minorHAnsi" w:hAnsiTheme="minorHAnsi" w:cstheme="minorHAnsi"/>
                <w:sz w:val="20"/>
                <w:szCs w:val="20"/>
              </w:rPr>
              <w:lastRenderedPageBreak/>
              <w:t>Powinno być „MŚP”.</w:t>
            </w:r>
          </w:p>
        </w:tc>
        <w:tc>
          <w:tcPr>
            <w:tcW w:w="1701" w:type="dxa"/>
          </w:tcPr>
          <w:p w14:paraId="43600025" w14:textId="77777777" w:rsidR="004E0927" w:rsidRPr="004E0927" w:rsidRDefault="004E0927" w:rsidP="004D086F">
            <w:pPr>
              <w:jc w:val="center"/>
              <w:rPr>
                <w:rFonts w:asciiTheme="minorHAnsi" w:hAnsiTheme="minorHAnsi" w:cstheme="minorHAnsi"/>
                <w:sz w:val="20"/>
                <w:szCs w:val="20"/>
              </w:rPr>
            </w:pPr>
            <w:r>
              <w:rPr>
                <w:rFonts w:asciiTheme="minorHAnsi" w:hAnsiTheme="minorHAnsi" w:cstheme="minorHAnsi"/>
                <w:sz w:val="20"/>
                <w:szCs w:val="20"/>
              </w:rPr>
              <w:t>uwzględniona</w:t>
            </w:r>
          </w:p>
        </w:tc>
        <w:tc>
          <w:tcPr>
            <w:tcW w:w="1900" w:type="dxa"/>
          </w:tcPr>
          <w:p w14:paraId="54F25B50" w14:textId="77777777" w:rsidR="004E0927" w:rsidRPr="004E0927" w:rsidRDefault="00C35D49" w:rsidP="004D086F">
            <w:pPr>
              <w:jc w:val="center"/>
              <w:rPr>
                <w:rFonts w:asciiTheme="minorHAnsi" w:hAnsiTheme="minorHAnsi" w:cstheme="minorHAnsi"/>
                <w:sz w:val="20"/>
                <w:szCs w:val="20"/>
              </w:rPr>
            </w:pPr>
            <w:r>
              <w:rPr>
                <w:rFonts w:asciiTheme="minorHAnsi" w:hAnsiTheme="minorHAnsi" w:cstheme="minorHAnsi"/>
                <w:sz w:val="20"/>
                <w:szCs w:val="20"/>
              </w:rPr>
              <w:t>Zapis zostanie poprawiony.</w:t>
            </w:r>
          </w:p>
        </w:tc>
      </w:tr>
      <w:tr w:rsidR="00AD0C0D" w:rsidRPr="004E0927" w14:paraId="400D3B98" w14:textId="77777777" w:rsidTr="003A0B1E">
        <w:tc>
          <w:tcPr>
            <w:tcW w:w="533" w:type="dxa"/>
            <w:shd w:val="clear" w:color="auto" w:fill="auto"/>
            <w:vAlign w:val="center"/>
          </w:tcPr>
          <w:p w14:paraId="2B0F36F3" w14:textId="77777777" w:rsidR="004E0927" w:rsidRPr="004E0927" w:rsidRDefault="004E0927" w:rsidP="00DD331D">
            <w:pPr>
              <w:pStyle w:val="Akapitzlist"/>
              <w:numPr>
                <w:ilvl w:val="0"/>
                <w:numId w:val="3"/>
              </w:numPr>
              <w:spacing w:before="120" w:after="120"/>
              <w:jc w:val="center"/>
              <w:rPr>
                <w:rFonts w:asciiTheme="minorHAnsi" w:hAnsiTheme="minorHAnsi" w:cstheme="minorHAnsi"/>
                <w:b/>
                <w:sz w:val="20"/>
                <w:szCs w:val="20"/>
              </w:rPr>
            </w:pPr>
          </w:p>
        </w:tc>
        <w:tc>
          <w:tcPr>
            <w:tcW w:w="771" w:type="dxa"/>
            <w:shd w:val="clear" w:color="auto" w:fill="auto"/>
            <w:vAlign w:val="center"/>
          </w:tcPr>
          <w:p w14:paraId="01BBCB0B" w14:textId="77777777" w:rsidR="004E0927" w:rsidRPr="004E0927" w:rsidRDefault="004E0927" w:rsidP="001F4962">
            <w:pPr>
              <w:spacing w:before="60" w:after="60"/>
              <w:jc w:val="center"/>
              <w:rPr>
                <w:rFonts w:asciiTheme="minorHAnsi" w:hAnsiTheme="minorHAnsi" w:cstheme="minorHAnsi"/>
                <w:b/>
                <w:sz w:val="20"/>
                <w:szCs w:val="20"/>
              </w:rPr>
            </w:pPr>
            <w:r w:rsidRPr="004E0927">
              <w:rPr>
                <w:rFonts w:asciiTheme="minorHAnsi" w:hAnsiTheme="minorHAnsi" w:cstheme="minorHAnsi"/>
                <w:b/>
                <w:sz w:val="20"/>
                <w:szCs w:val="20"/>
              </w:rPr>
              <w:t>MEiN</w:t>
            </w:r>
          </w:p>
        </w:tc>
        <w:tc>
          <w:tcPr>
            <w:tcW w:w="1318" w:type="dxa"/>
            <w:shd w:val="clear" w:color="auto" w:fill="auto"/>
          </w:tcPr>
          <w:p w14:paraId="1C691268" w14:textId="77777777" w:rsidR="004E0927" w:rsidRPr="004E0927" w:rsidRDefault="004E0927" w:rsidP="004D086F">
            <w:pPr>
              <w:jc w:val="center"/>
              <w:rPr>
                <w:rFonts w:asciiTheme="minorHAnsi" w:hAnsiTheme="minorHAnsi" w:cstheme="minorHAnsi"/>
                <w:sz w:val="20"/>
                <w:szCs w:val="20"/>
              </w:rPr>
            </w:pPr>
            <w:r w:rsidRPr="004E0927">
              <w:rPr>
                <w:rFonts w:asciiTheme="minorHAnsi" w:hAnsiTheme="minorHAnsi" w:cstheme="minorHAnsi"/>
                <w:sz w:val="20"/>
                <w:szCs w:val="20"/>
              </w:rPr>
              <w:t>Zwiększenie zdolności sektora nauki do współpracy, str. 37</w:t>
            </w:r>
          </w:p>
        </w:tc>
        <w:tc>
          <w:tcPr>
            <w:tcW w:w="4577" w:type="dxa"/>
            <w:shd w:val="clear" w:color="auto" w:fill="auto"/>
          </w:tcPr>
          <w:p w14:paraId="05F3D61C" w14:textId="77777777" w:rsidR="004E0927" w:rsidRPr="004E0927" w:rsidRDefault="004E0927" w:rsidP="0095289B">
            <w:pPr>
              <w:jc w:val="both"/>
              <w:rPr>
                <w:rFonts w:asciiTheme="minorHAnsi" w:hAnsiTheme="minorHAnsi" w:cstheme="minorHAnsi"/>
                <w:sz w:val="20"/>
                <w:szCs w:val="20"/>
              </w:rPr>
            </w:pPr>
            <w:r w:rsidRPr="004E0927">
              <w:rPr>
                <w:rFonts w:asciiTheme="minorHAnsi" w:hAnsiTheme="minorHAnsi" w:cstheme="minorHAnsi"/>
                <w:i/>
                <w:sz w:val="20"/>
                <w:szCs w:val="20"/>
              </w:rPr>
              <w:t xml:space="preserve">Wsparcie w tym obszarze ma na celu mobilizację osób i instytucji działających w sektorze nauki do współpracy – pomiędzy sektorami biznesu i nauki, pomiędzy instytucjami, a także z osobami i instytucjami z różnych krajów. – </w:t>
            </w:r>
            <w:r w:rsidRPr="004E0927">
              <w:rPr>
                <w:rFonts w:asciiTheme="minorHAnsi" w:hAnsiTheme="minorHAnsi" w:cstheme="minorHAnsi"/>
                <w:sz w:val="20"/>
                <w:szCs w:val="20"/>
              </w:rPr>
              <w:t>zdanie jest nielogiczne i wymaga przeredagowania.</w:t>
            </w:r>
          </w:p>
        </w:tc>
        <w:tc>
          <w:tcPr>
            <w:tcW w:w="4961" w:type="dxa"/>
            <w:shd w:val="clear" w:color="auto" w:fill="auto"/>
          </w:tcPr>
          <w:p w14:paraId="7669AEBC" w14:textId="77777777" w:rsidR="004E0927" w:rsidRPr="004E0927" w:rsidRDefault="004E0927" w:rsidP="0095289B">
            <w:pPr>
              <w:jc w:val="both"/>
              <w:rPr>
                <w:rFonts w:asciiTheme="minorHAnsi" w:hAnsiTheme="minorHAnsi" w:cstheme="minorHAnsi"/>
                <w:sz w:val="20"/>
                <w:szCs w:val="20"/>
              </w:rPr>
            </w:pPr>
            <w:r w:rsidRPr="004E0927">
              <w:rPr>
                <w:rFonts w:asciiTheme="minorHAnsi" w:hAnsiTheme="minorHAnsi" w:cstheme="minorHAnsi"/>
                <w:sz w:val="20"/>
                <w:szCs w:val="20"/>
              </w:rPr>
              <w:t>Sugerujemy zmianę zapisu na: Wsparcie w tym obszarze ma na celu mobilizację osób i instytucji działających w sektorze nauki do współpracy z sektorem biznesu, a także z osobami i instytucjami z różnych krajów.</w:t>
            </w:r>
          </w:p>
        </w:tc>
        <w:tc>
          <w:tcPr>
            <w:tcW w:w="1701" w:type="dxa"/>
          </w:tcPr>
          <w:p w14:paraId="4F6155D6" w14:textId="55C97D04" w:rsidR="004E0927" w:rsidRPr="004E0927" w:rsidRDefault="00C93B06" w:rsidP="004D086F">
            <w:pPr>
              <w:jc w:val="center"/>
              <w:rPr>
                <w:rFonts w:asciiTheme="minorHAnsi" w:hAnsiTheme="minorHAnsi" w:cstheme="minorHAnsi"/>
                <w:sz w:val="20"/>
                <w:szCs w:val="20"/>
              </w:rPr>
            </w:pPr>
            <w:r>
              <w:rPr>
                <w:rFonts w:asciiTheme="minorHAnsi" w:hAnsiTheme="minorHAnsi" w:cstheme="minorHAnsi"/>
                <w:sz w:val="20"/>
                <w:szCs w:val="20"/>
              </w:rPr>
              <w:t>uwzględniona</w:t>
            </w:r>
          </w:p>
        </w:tc>
        <w:tc>
          <w:tcPr>
            <w:tcW w:w="1900" w:type="dxa"/>
          </w:tcPr>
          <w:p w14:paraId="6426D02D" w14:textId="48294F18" w:rsidR="004E0927" w:rsidRPr="004E0927" w:rsidRDefault="00D42B94" w:rsidP="00CA491D">
            <w:pPr>
              <w:jc w:val="both"/>
              <w:rPr>
                <w:rFonts w:asciiTheme="minorHAnsi" w:hAnsiTheme="minorHAnsi" w:cstheme="minorHAnsi"/>
                <w:sz w:val="20"/>
                <w:szCs w:val="20"/>
              </w:rPr>
            </w:pPr>
            <w:r>
              <w:rPr>
                <w:rFonts w:asciiTheme="minorHAnsi" w:hAnsiTheme="minorHAnsi" w:cstheme="minorHAnsi"/>
                <w:sz w:val="20"/>
                <w:szCs w:val="20"/>
              </w:rPr>
              <w:t>Zapis został</w:t>
            </w:r>
            <w:r w:rsidR="00C93B06">
              <w:rPr>
                <w:rFonts w:asciiTheme="minorHAnsi" w:hAnsiTheme="minorHAnsi" w:cstheme="minorHAnsi"/>
                <w:sz w:val="20"/>
                <w:szCs w:val="20"/>
              </w:rPr>
              <w:t xml:space="preserve"> poprawiony</w:t>
            </w:r>
            <w:r>
              <w:rPr>
                <w:rFonts w:asciiTheme="minorHAnsi" w:hAnsiTheme="minorHAnsi" w:cstheme="minorHAnsi"/>
                <w:sz w:val="20"/>
                <w:szCs w:val="20"/>
              </w:rPr>
              <w:t xml:space="preserve"> w Programie.</w:t>
            </w:r>
          </w:p>
        </w:tc>
      </w:tr>
      <w:tr w:rsidR="00AD0C0D" w:rsidRPr="004E0927" w14:paraId="6E643775" w14:textId="77777777" w:rsidTr="003A0B1E">
        <w:tc>
          <w:tcPr>
            <w:tcW w:w="533" w:type="dxa"/>
            <w:shd w:val="clear" w:color="auto" w:fill="auto"/>
            <w:vAlign w:val="center"/>
          </w:tcPr>
          <w:p w14:paraId="56B4099D" w14:textId="77777777" w:rsidR="004E0927" w:rsidRPr="004E0927" w:rsidRDefault="004E0927" w:rsidP="00DD331D">
            <w:pPr>
              <w:pStyle w:val="Akapitzlist"/>
              <w:numPr>
                <w:ilvl w:val="0"/>
                <w:numId w:val="3"/>
              </w:numPr>
              <w:spacing w:before="120" w:after="120"/>
              <w:jc w:val="center"/>
              <w:rPr>
                <w:rFonts w:asciiTheme="minorHAnsi" w:hAnsiTheme="minorHAnsi" w:cstheme="minorHAnsi"/>
                <w:b/>
                <w:sz w:val="20"/>
                <w:szCs w:val="20"/>
              </w:rPr>
            </w:pPr>
          </w:p>
        </w:tc>
        <w:tc>
          <w:tcPr>
            <w:tcW w:w="771" w:type="dxa"/>
            <w:shd w:val="clear" w:color="auto" w:fill="auto"/>
            <w:vAlign w:val="center"/>
          </w:tcPr>
          <w:p w14:paraId="53E1AC3E" w14:textId="77777777" w:rsidR="004E0927" w:rsidRPr="004E0927" w:rsidRDefault="004E0927" w:rsidP="001F4962">
            <w:pPr>
              <w:spacing w:before="60" w:after="60"/>
              <w:jc w:val="center"/>
              <w:rPr>
                <w:rFonts w:asciiTheme="minorHAnsi" w:hAnsiTheme="minorHAnsi" w:cstheme="minorHAnsi"/>
                <w:b/>
                <w:sz w:val="20"/>
                <w:szCs w:val="20"/>
              </w:rPr>
            </w:pPr>
            <w:r w:rsidRPr="004E0927">
              <w:rPr>
                <w:rFonts w:asciiTheme="minorHAnsi" w:hAnsiTheme="minorHAnsi" w:cstheme="minorHAnsi"/>
                <w:b/>
                <w:sz w:val="20"/>
                <w:szCs w:val="20"/>
              </w:rPr>
              <w:t>MEiN</w:t>
            </w:r>
          </w:p>
        </w:tc>
        <w:tc>
          <w:tcPr>
            <w:tcW w:w="1318" w:type="dxa"/>
            <w:shd w:val="clear" w:color="auto" w:fill="auto"/>
          </w:tcPr>
          <w:p w14:paraId="1399A90F" w14:textId="77777777" w:rsidR="004E0927" w:rsidRPr="004E0927" w:rsidRDefault="004E0927" w:rsidP="004D086F">
            <w:pPr>
              <w:jc w:val="center"/>
              <w:rPr>
                <w:rFonts w:asciiTheme="minorHAnsi" w:hAnsiTheme="minorHAnsi" w:cstheme="minorHAnsi"/>
                <w:sz w:val="20"/>
                <w:szCs w:val="20"/>
              </w:rPr>
            </w:pPr>
            <w:r w:rsidRPr="004E0927">
              <w:rPr>
                <w:rFonts w:asciiTheme="minorHAnsi" w:hAnsiTheme="minorHAnsi" w:cstheme="minorHAnsi"/>
                <w:sz w:val="20"/>
                <w:szCs w:val="20"/>
              </w:rPr>
              <w:t>Zwiększenie zdolności sektora nauki do współpracy, str. 37</w:t>
            </w:r>
          </w:p>
        </w:tc>
        <w:tc>
          <w:tcPr>
            <w:tcW w:w="4577" w:type="dxa"/>
            <w:shd w:val="clear" w:color="auto" w:fill="auto"/>
          </w:tcPr>
          <w:p w14:paraId="08F75275" w14:textId="77777777" w:rsidR="004E0927" w:rsidRPr="004E0927" w:rsidRDefault="004E0927" w:rsidP="00ED58A4">
            <w:pPr>
              <w:jc w:val="both"/>
              <w:rPr>
                <w:rFonts w:asciiTheme="minorHAnsi" w:hAnsiTheme="minorHAnsi" w:cstheme="minorHAnsi"/>
                <w:sz w:val="20"/>
                <w:szCs w:val="20"/>
              </w:rPr>
            </w:pPr>
            <w:r w:rsidRPr="004E0927">
              <w:rPr>
                <w:rFonts w:asciiTheme="minorHAnsi" w:hAnsiTheme="minorHAnsi" w:cstheme="minorHAnsi"/>
                <w:sz w:val="20"/>
                <w:szCs w:val="20"/>
              </w:rPr>
              <w:t>Brak informacji o programie „Doktorat Wdrożeniowy”.</w:t>
            </w:r>
          </w:p>
        </w:tc>
        <w:tc>
          <w:tcPr>
            <w:tcW w:w="4961" w:type="dxa"/>
            <w:shd w:val="clear" w:color="auto" w:fill="auto"/>
          </w:tcPr>
          <w:p w14:paraId="13231A37" w14:textId="77777777" w:rsidR="004E0927" w:rsidRPr="004E0927" w:rsidRDefault="004E0927" w:rsidP="0095289B">
            <w:pPr>
              <w:jc w:val="both"/>
              <w:rPr>
                <w:rFonts w:asciiTheme="minorHAnsi" w:hAnsiTheme="minorHAnsi" w:cstheme="minorHAnsi"/>
                <w:sz w:val="20"/>
                <w:szCs w:val="20"/>
              </w:rPr>
            </w:pPr>
            <w:r w:rsidRPr="004E0927">
              <w:rPr>
                <w:rFonts w:asciiTheme="minorHAnsi" w:hAnsiTheme="minorHAnsi" w:cstheme="minorHAnsi"/>
                <w:sz w:val="20"/>
                <w:szCs w:val="20"/>
              </w:rPr>
              <w:t>Proponujemy dodać punkt:</w:t>
            </w:r>
          </w:p>
          <w:p w14:paraId="44B15CF0" w14:textId="77777777" w:rsidR="004E0927" w:rsidRPr="004E0927" w:rsidRDefault="004E0927" w:rsidP="0095289B">
            <w:pPr>
              <w:pStyle w:val="Akapitzlist"/>
              <w:numPr>
                <w:ilvl w:val="0"/>
                <w:numId w:val="1"/>
              </w:numPr>
              <w:jc w:val="both"/>
              <w:rPr>
                <w:rFonts w:asciiTheme="minorHAnsi" w:hAnsiTheme="minorHAnsi" w:cstheme="minorHAnsi"/>
                <w:i/>
                <w:sz w:val="20"/>
                <w:szCs w:val="20"/>
              </w:rPr>
            </w:pPr>
            <w:r w:rsidRPr="004E0927">
              <w:rPr>
                <w:rFonts w:asciiTheme="minorHAnsi" w:hAnsiTheme="minorHAnsi" w:cstheme="minorHAnsi"/>
                <w:i/>
                <w:sz w:val="20"/>
                <w:szCs w:val="20"/>
              </w:rPr>
              <w:t>Doktorat Wdrożeniowy - przedmiotem programu jest tworzenie warunków do rozwoju współpracy podmiotów systemu szkolnictwa wyższego i nauki z otoczeniem społeczno-gospodarczym, prowadzonej w ramach szkół doktorskich i polegającej na kształceniu doktorantów we współpracy z zatrudniającymi ich przedsiębiorcami albo innymi podmiotami, której efektem będzie wdrażanie w tych podmiotach wyników prowadzonej przez doktorantów działalności naukowej.</w:t>
            </w:r>
          </w:p>
        </w:tc>
        <w:tc>
          <w:tcPr>
            <w:tcW w:w="1701" w:type="dxa"/>
          </w:tcPr>
          <w:p w14:paraId="63473C6D" w14:textId="77777777" w:rsidR="004E0927" w:rsidRPr="004E0927" w:rsidRDefault="00CA491D" w:rsidP="004D086F">
            <w:pPr>
              <w:jc w:val="center"/>
              <w:rPr>
                <w:rFonts w:asciiTheme="minorHAnsi" w:hAnsiTheme="minorHAnsi" w:cstheme="minorHAnsi"/>
                <w:sz w:val="20"/>
                <w:szCs w:val="20"/>
              </w:rPr>
            </w:pPr>
            <w:r>
              <w:rPr>
                <w:rFonts w:asciiTheme="minorHAnsi" w:hAnsiTheme="minorHAnsi" w:cstheme="minorHAnsi"/>
                <w:sz w:val="20"/>
                <w:szCs w:val="20"/>
              </w:rPr>
              <w:t>nieuwzględniona</w:t>
            </w:r>
          </w:p>
        </w:tc>
        <w:tc>
          <w:tcPr>
            <w:tcW w:w="1900" w:type="dxa"/>
          </w:tcPr>
          <w:p w14:paraId="3EE60840" w14:textId="77777777" w:rsidR="004E0927" w:rsidRDefault="00CA491D" w:rsidP="00CA491D">
            <w:pPr>
              <w:jc w:val="both"/>
              <w:rPr>
                <w:rFonts w:asciiTheme="minorHAnsi" w:hAnsiTheme="minorHAnsi" w:cstheme="minorHAnsi"/>
                <w:sz w:val="20"/>
                <w:szCs w:val="20"/>
              </w:rPr>
            </w:pPr>
            <w:r>
              <w:rPr>
                <w:rFonts w:asciiTheme="minorHAnsi" w:hAnsiTheme="minorHAnsi" w:cstheme="minorHAnsi"/>
                <w:sz w:val="20"/>
                <w:szCs w:val="20"/>
              </w:rPr>
              <w:t xml:space="preserve">Fragment </w:t>
            </w:r>
            <w:r w:rsidRPr="00CA491D">
              <w:rPr>
                <w:rFonts w:asciiTheme="minorHAnsi" w:hAnsiTheme="minorHAnsi" w:cstheme="minorHAnsi"/>
                <w:i/>
                <w:sz w:val="20"/>
                <w:szCs w:val="20"/>
              </w:rPr>
              <w:t>Zwiększenie zdolności sektora nauki do współprac</w:t>
            </w:r>
            <w:r>
              <w:rPr>
                <w:rFonts w:asciiTheme="minorHAnsi" w:hAnsiTheme="minorHAnsi" w:cstheme="minorHAnsi"/>
                <w:i/>
                <w:sz w:val="20"/>
                <w:szCs w:val="20"/>
              </w:rPr>
              <w:t xml:space="preserve"> </w:t>
            </w:r>
            <w:r>
              <w:rPr>
                <w:rFonts w:asciiTheme="minorHAnsi" w:hAnsiTheme="minorHAnsi" w:cstheme="minorHAnsi"/>
                <w:sz w:val="20"/>
                <w:szCs w:val="20"/>
              </w:rPr>
              <w:t>odnosi się do przedsięwzięć, które zostaną objęte finansowaniem w ramach FENG. Program nie przewiduje finansowania „Doktoratów wdrożeniowych”, dlatego też informacja ta nie może znaleźć się w tej części programu.</w:t>
            </w:r>
          </w:p>
          <w:p w14:paraId="19D7533F" w14:textId="77777777" w:rsidR="00CA491D" w:rsidRDefault="00CA491D" w:rsidP="00CA491D">
            <w:pPr>
              <w:jc w:val="both"/>
              <w:rPr>
                <w:rFonts w:asciiTheme="minorHAnsi" w:hAnsiTheme="minorHAnsi" w:cstheme="minorHAnsi"/>
                <w:sz w:val="20"/>
                <w:szCs w:val="20"/>
              </w:rPr>
            </w:pPr>
            <w:r>
              <w:rPr>
                <w:rFonts w:asciiTheme="minorHAnsi" w:hAnsiTheme="minorHAnsi" w:cstheme="minorHAnsi"/>
                <w:sz w:val="20"/>
                <w:szCs w:val="20"/>
              </w:rPr>
              <w:t xml:space="preserve">Doktoratom wdrożeniowym zostało poświęcone miejsce w ramach Diagnozy w części: </w:t>
            </w:r>
            <w:r w:rsidRPr="00CA491D">
              <w:rPr>
                <w:i/>
                <w:sz w:val="20"/>
                <w:szCs w:val="20"/>
              </w:rPr>
              <w:t>Potencjał B+R polskich przedsiębiorstw</w:t>
            </w:r>
            <w:r w:rsidRPr="00CA491D">
              <w:t>.</w:t>
            </w:r>
          </w:p>
          <w:p w14:paraId="74A1631D" w14:textId="77777777" w:rsidR="00CA491D" w:rsidRPr="00CA491D" w:rsidRDefault="00CA491D" w:rsidP="00CA491D">
            <w:pPr>
              <w:jc w:val="both"/>
              <w:rPr>
                <w:rFonts w:asciiTheme="minorHAnsi" w:hAnsiTheme="minorHAnsi" w:cstheme="minorHAnsi"/>
                <w:sz w:val="20"/>
                <w:szCs w:val="20"/>
              </w:rPr>
            </w:pPr>
          </w:p>
        </w:tc>
      </w:tr>
      <w:tr w:rsidR="00AD0C0D" w:rsidRPr="004E0927" w14:paraId="0AAEF8DF" w14:textId="77777777" w:rsidTr="003A0B1E">
        <w:tc>
          <w:tcPr>
            <w:tcW w:w="533" w:type="dxa"/>
            <w:shd w:val="clear" w:color="auto" w:fill="auto"/>
            <w:vAlign w:val="center"/>
          </w:tcPr>
          <w:p w14:paraId="15B08150" w14:textId="77777777" w:rsidR="004E0927" w:rsidRPr="004E0927" w:rsidRDefault="004E0927" w:rsidP="00791BDB">
            <w:pPr>
              <w:pStyle w:val="Akapitzlist"/>
              <w:numPr>
                <w:ilvl w:val="0"/>
                <w:numId w:val="3"/>
              </w:numPr>
              <w:spacing w:before="120" w:after="120"/>
              <w:rPr>
                <w:rFonts w:asciiTheme="minorHAnsi" w:hAnsiTheme="minorHAnsi" w:cstheme="minorHAnsi"/>
                <w:b/>
                <w:sz w:val="20"/>
                <w:szCs w:val="20"/>
              </w:rPr>
            </w:pPr>
          </w:p>
        </w:tc>
        <w:tc>
          <w:tcPr>
            <w:tcW w:w="771" w:type="dxa"/>
            <w:shd w:val="clear" w:color="auto" w:fill="auto"/>
            <w:vAlign w:val="center"/>
          </w:tcPr>
          <w:p w14:paraId="2F5D8CA4" w14:textId="77777777" w:rsidR="004E0927" w:rsidRPr="004E0927" w:rsidRDefault="004E0927" w:rsidP="001F4962">
            <w:pPr>
              <w:spacing w:before="60" w:after="60"/>
              <w:jc w:val="center"/>
              <w:rPr>
                <w:rFonts w:asciiTheme="minorHAnsi" w:hAnsiTheme="minorHAnsi" w:cstheme="minorHAnsi"/>
                <w:b/>
                <w:sz w:val="20"/>
                <w:szCs w:val="20"/>
              </w:rPr>
            </w:pPr>
            <w:r w:rsidRPr="004E0927">
              <w:rPr>
                <w:rFonts w:asciiTheme="minorHAnsi" w:hAnsiTheme="minorHAnsi" w:cstheme="minorHAnsi"/>
                <w:b/>
                <w:sz w:val="20"/>
                <w:szCs w:val="20"/>
              </w:rPr>
              <w:t>MEiN</w:t>
            </w:r>
          </w:p>
        </w:tc>
        <w:tc>
          <w:tcPr>
            <w:tcW w:w="1318" w:type="dxa"/>
            <w:shd w:val="clear" w:color="auto" w:fill="auto"/>
          </w:tcPr>
          <w:p w14:paraId="32E93A5C" w14:textId="77777777" w:rsidR="004E0927" w:rsidRPr="004E0927" w:rsidRDefault="004E0927" w:rsidP="004D086F">
            <w:pPr>
              <w:jc w:val="center"/>
              <w:rPr>
                <w:rFonts w:asciiTheme="minorHAnsi" w:hAnsiTheme="minorHAnsi" w:cstheme="minorHAnsi"/>
                <w:sz w:val="20"/>
                <w:szCs w:val="20"/>
              </w:rPr>
            </w:pPr>
            <w:r w:rsidRPr="004E0927">
              <w:rPr>
                <w:rFonts w:asciiTheme="minorHAnsi" w:hAnsiTheme="minorHAnsi" w:cstheme="minorHAnsi"/>
                <w:sz w:val="20"/>
                <w:szCs w:val="20"/>
              </w:rPr>
              <w:t xml:space="preserve">Wsparcie w zakresie </w:t>
            </w:r>
            <w:r w:rsidRPr="004E0927">
              <w:rPr>
                <w:rFonts w:asciiTheme="minorHAnsi" w:hAnsiTheme="minorHAnsi" w:cstheme="minorHAnsi"/>
                <w:sz w:val="20"/>
                <w:szCs w:val="20"/>
              </w:rPr>
              <w:lastRenderedPageBreak/>
              <w:t>transferu technologii, str. 51</w:t>
            </w:r>
          </w:p>
        </w:tc>
        <w:tc>
          <w:tcPr>
            <w:tcW w:w="4577" w:type="dxa"/>
            <w:shd w:val="clear" w:color="auto" w:fill="auto"/>
          </w:tcPr>
          <w:p w14:paraId="3870998A" w14:textId="77777777" w:rsidR="004E0927" w:rsidRPr="004E0927" w:rsidRDefault="004E0927" w:rsidP="0095289B">
            <w:pPr>
              <w:jc w:val="both"/>
              <w:rPr>
                <w:rFonts w:asciiTheme="minorHAnsi" w:hAnsiTheme="minorHAnsi" w:cstheme="minorHAnsi"/>
                <w:i/>
                <w:sz w:val="20"/>
                <w:szCs w:val="20"/>
              </w:rPr>
            </w:pPr>
            <w:r w:rsidRPr="004E0927">
              <w:rPr>
                <w:rFonts w:asciiTheme="minorHAnsi" w:hAnsiTheme="minorHAnsi" w:cstheme="minorHAnsi"/>
                <w:i/>
                <w:sz w:val="20"/>
                <w:szCs w:val="20"/>
              </w:rPr>
              <w:lastRenderedPageBreak/>
              <w:t xml:space="preserve">Wsparcie dla pozyskania technologii z zewnętrznego źródła, np. w postaci wartości niematerialnych i </w:t>
            </w:r>
            <w:r w:rsidRPr="004E0927">
              <w:rPr>
                <w:rFonts w:asciiTheme="minorHAnsi" w:hAnsiTheme="minorHAnsi" w:cstheme="minorHAnsi"/>
                <w:i/>
                <w:sz w:val="20"/>
                <w:szCs w:val="20"/>
              </w:rPr>
              <w:lastRenderedPageBreak/>
              <w:t xml:space="preserve">prawnych do rozwiązań IT służących transformacji cyfrowej w przedsiębiorstwie ma na celu poszerzenie dostępu do wiedzy, obniżenie kosztów technologii i innych nowych rozwiązań polskich </w:t>
            </w:r>
            <w:r w:rsidRPr="004E0927">
              <w:rPr>
                <w:rFonts w:asciiTheme="minorHAnsi" w:hAnsiTheme="minorHAnsi" w:cstheme="minorHAnsi"/>
                <w:b/>
                <w:i/>
                <w:sz w:val="20"/>
                <w:szCs w:val="20"/>
              </w:rPr>
              <w:t>MSP</w:t>
            </w:r>
            <w:r w:rsidRPr="004E0927">
              <w:rPr>
                <w:rFonts w:asciiTheme="minorHAnsi" w:hAnsiTheme="minorHAnsi" w:cstheme="minorHAnsi"/>
                <w:i/>
                <w:sz w:val="20"/>
                <w:szCs w:val="20"/>
              </w:rPr>
              <w:t>.</w:t>
            </w:r>
          </w:p>
        </w:tc>
        <w:tc>
          <w:tcPr>
            <w:tcW w:w="4961" w:type="dxa"/>
            <w:shd w:val="clear" w:color="auto" w:fill="auto"/>
          </w:tcPr>
          <w:p w14:paraId="52BF0CDD" w14:textId="77777777" w:rsidR="004E0927" w:rsidRPr="004E0927" w:rsidRDefault="004E0927" w:rsidP="0095289B">
            <w:pPr>
              <w:jc w:val="both"/>
              <w:rPr>
                <w:rFonts w:asciiTheme="minorHAnsi" w:hAnsiTheme="minorHAnsi" w:cstheme="minorHAnsi"/>
                <w:sz w:val="20"/>
                <w:szCs w:val="20"/>
              </w:rPr>
            </w:pPr>
            <w:r w:rsidRPr="004E0927">
              <w:rPr>
                <w:rFonts w:asciiTheme="minorHAnsi" w:hAnsiTheme="minorHAnsi" w:cstheme="minorHAnsi"/>
                <w:sz w:val="20"/>
                <w:szCs w:val="20"/>
              </w:rPr>
              <w:lastRenderedPageBreak/>
              <w:t>Powinno być „MŚP”.</w:t>
            </w:r>
          </w:p>
        </w:tc>
        <w:tc>
          <w:tcPr>
            <w:tcW w:w="1701" w:type="dxa"/>
          </w:tcPr>
          <w:p w14:paraId="065D49F0" w14:textId="77777777" w:rsidR="004E0927" w:rsidRPr="004E0927" w:rsidRDefault="00CA491D" w:rsidP="004D086F">
            <w:pPr>
              <w:jc w:val="center"/>
              <w:rPr>
                <w:rFonts w:asciiTheme="minorHAnsi" w:hAnsiTheme="minorHAnsi" w:cstheme="minorHAnsi"/>
                <w:sz w:val="20"/>
                <w:szCs w:val="20"/>
              </w:rPr>
            </w:pPr>
            <w:r>
              <w:rPr>
                <w:rFonts w:asciiTheme="minorHAnsi" w:hAnsiTheme="minorHAnsi" w:cstheme="minorHAnsi"/>
                <w:sz w:val="20"/>
                <w:szCs w:val="20"/>
              </w:rPr>
              <w:t>uwzględniona</w:t>
            </w:r>
          </w:p>
        </w:tc>
        <w:tc>
          <w:tcPr>
            <w:tcW w:w="1900" w:type="dxa"/>
          </w:tcPr>
          <w:p w14:paraId="43EA32E3" w14:textId="066CF390" w:rsidR="004E0927" w:rsidRPr="004E0927" w:rsidRDefault="00D42B94" w:rsidP="004D086F">
            <w:pPr>
              <w:jc w:val="center"/>
              <w:rPr>
                <w:rFonts w:asciiTheme="minorHAnsi" w:hAnsiTheme="minorHAnsi" w:cstheme="minorHAnsi"/>
                <w:sz w:val="20"/>
                <w:szCs w:val="20"/>
              </w:rPr>
            </w:pPr>
            <w:r>
              <w:rPr>
                <w:rFonts w:asciiTheme="minorHAnsi" w:hAnsiTheme="minorHAnsi" w:cstheme="minorHAnsi"/>
                <w:sz w:val="20"/>
                <w:szCs w:val="20"/>
              </w:rPr>
              <w:t xml:space="preserve">Zapis został </w:t>
            </w:r>
            <w:r w:rsidR="0048745F">
              <w:rPr>
                <w:rFonts w:asciiTheme="minorHAnsi" w:hAnsiTheme="minorHAnsi" w:cstheme="minorHAnsi"/>
                <w:sz w:val="20"/>
                <w:szCs w:val="20"/>
              </w:rPr>
              <w:t>poprawiony</w:t>
            </w:r>
            <w:r>
              <w:rPr>
                <w:rFonts w:asciiTheme="minorHAnsi" w:hAnsiTheme="minorHAnsi" w:cstheme="minorHAnsi"/>
                <w:sz w:val="20"/>
                <w:szCs w:val="20"/>
              </w:rPr>
              <w:t xml:space="preserve"> w </w:t>
            </w:r>
            <w:r>
              <w:rPr>
                <w:rFonts w:asciiTheme="minorHAnsi" w:hAnsiTheme="minorHAnsi" w:cstheme="minorHAnsi"/>
                <w:sz w:val="20"/>
                <w:szCs w:val="20"/>
              </w:rPr>
              <w:lastRenderedPageBreak/>
              <w:t>Programie.</w:t>
            </w:r>
          </w:p>
        </w:tc>
      </w:tr>
      <w:tr w:rsidR="00AD0C0D" w:rsidRPr="004E0927" w14:paraId="3B11D12F" w14:textId="77777777" w:rsidTr="003A0B1E">
        <w:tc>
          <w:tcPr>
            <w:tcW w:w="533" w:type="dxa"/>
            <w:shd w:val="clear" w:color="auto" w:fill="auto"/>
            <w:vAlign w:val="center"/>
          </w:tcPr>
          <w:p w14:paraId="758E44A5" w14:textId="77777777" w:rsidR="0048745F" w:rsidRPr="004E0927" w:rsidRDefault="0048745F" w:rsidP="0048745F">
            <w:pPr>
              <w:pStyle w:val="Akapitzlist"/>
              <w:numPr>
                <w:ilvl w:val="0"/>
                <w:numId w:val="3"/>
              </w:numPr>
              <w:spacing w:before="120" w:after="120"/>
              <w:jc w:val="center"/>
              <w:rPr>
                <w:rFonts w:asciiTheme="minorHAnsi" w:hAnsiTheme="minorHAnsi" w:cstheme="minorHAnsi"/>
                <w:b/>
                <w:sz w:val="20"/>
                <w:szCs w:val="20"/>
              </w:rPr>
            </w:pPr>
          </w:p>
        </w:tc>
        <w:tc>
          <w:tcPr>
            <w:tcW w:w="771" w:type="dxa"/>
            <w:shd w:val="clear" w:color="auto" w:fill="auto"/>
            <w:vAlign w:val="center"/>
          </w:tcPr>
          <w:p w14:paraId="6DEC72A3" w14:textId="77777777" w:rsidR="0048745F" w:rsidRPr="004E0927" w:rsidRDefault="0048745F" w:rsidP="001F4962">
            <w:pPr>
              <w:spacing w:before="60" w:after="60"/>
              <w:jc w:val="center"/>
              <w:rPr>
                <w:rFonts w:asciiTheme="minorHAnsi" w:hAnsiTheme="minorHAnsi" w:cstheme="minorHAnsi"/>
                <w:b/>
                <w:sz w:val="20"/>
                <w:szCs w:val="20"/>
              </w:rPr>
            </w:pPr>
            <w:r w:rsidRPr="004E0927">
              <w:rPr>
                <w:rFonts w:asciiTheme="minorHAnsi" w:hAnsiTheme="minorHAnsi" w:cstheme="minorHAnsi"/>
                <w:b/>
                <w:sz w:val="20"/>
                <w:szCs w:val="20"/>
              </w:rPr>
              <w:t>MEiN</w:t>
            </w:r>
          </w:p>
        </w:tc>
        <w:tc>
          <w:tcPr>
            <w:tcW w:w="1318" w:type="dxa"/>
            <w:shd w:val="clear" w:color="auto" w:fill="auto"/>
          </w:tcPr>
          <w:p w14:paraId="22F6CB6E" w14:textId="77777777" w:rsidR="0048745F" w:rsidRPr="004E0927" w:rsidRDefault="0048745F" w:rsidP="0048745F">
            <w:pPr>
              <w:jc w:val="center"/>
              <w:rPr>
                <w:rFonts w:asciiTheme="minorHAnsi" w:hAnsiTheme="minorHAnsi" w:cstheme="minorHAnsi"/>
                <w:sz w:val="20"/>
                <w:szCs w:val="20"/>
              </w:rPr>
            </w:pPr>
            <w:r w:rsidRPr="004E0927">
              <w:rPr>
                <w:rFonts w:asciiTheme="minorHAnsi" w:hAnsiTheme="minorHAnsi" w:cstheme="minorHAnsi"/>
                <w:sz w:val="20"/>
                <w:szCs w:val="20"/>
              </w:rPr>
              <w:t>Wsparcie na kapitał obrotowy dla MSP, str. 54</w:t>
            </w:r>
          </w:p>
        </w:tc>
        <w:tc>
          <w:tcPr>
            <w:tcW w:w="4577" w:type="dxa"/>
            <w:shd w:val="clear" w:color="auto" w:fill="auto"/>
          </w:tcPr>
          <w:p w14:paraId="70E70A4F" w14:textId="77777777" w:rsidR="0048745F" w:rsidRPr="004E0927" w:rsidRDefault="0048745F" w:rsidP="0048745F">
            <w:pPr>
              <w:jc w:val="both"/>
              <w:rPr>
                <w:rFonts w:asciiTheme="minorHAnsi" w:hAnsiTheme="minorHAnsi" w:cstheme="minorHAnsi"/>
                <w:sz w:val="20"/>
                <w:szCs w:val="20"/>
              </w:rPr>
            </w:pPr>
            <w:r w:rsidRPr="004E0927">
              <w:rPr>
                <w:rFonts w:asciiTheme="minorHAnsi" w:hAnsiTheme="minorHAnsi" w:cstheme="minorHAnsi"/>
                <w:sz w:val="20"/>
                <w:szCs w:val="20"/>
              </w:rPr>
              <w:t>Błędnie zapisany skrót.</w:t>
            </w:r>
          </w:p>
        </w:tc>
        <w:tc>
          <w:tcPr>
            <w:tcW w:w="4961" w:type="dxa"/>
            <w:shd w:val="clear" w:color="auto" w:fill="auto"/>
          </w:tcPr>
          <w:p w14:paraId="6A83603F" w14:textId="77777777" w:rsidR="0048745F" w:rsidRPr="004E0927" w:rsidRDefault="0048745F" w:rsidP="0048745F">
            <w:pPr>
              <w:jc w:val="both"/>
              <w:rPr>
                <w:rFonts w:asciiTheme="minorHAnsi" w:hAnsiTheme="minorHAnsi" w:cstheme="minorHAnsi"/>
                <w:sz w:val="20"/>
                <w:szCs w:val="20"/>
              </w:rPr>
            </w:pPr>
            <w:r w:rsidRPr="004E0927">
              <w:rPr>
                <w:rFonts w:asciiTheme="minorHAnsi" w:hAnsiTheme="minorHAnsi" w:cstheme="minorHAnsi"/>
                <w:sz w:val="20"/>
                <w:szCs w:val="20"/>
              </w:rPr>
              <w:t>Powinno być „MŚP”.</w:t>
            </w:r>
          </w:p>
        </w:tc>
        <w:tc>
          <w:tcPr>
            <w:tcW w:w="1701" w:type="dxa"/>
          </w:tcPr>
          <w:p w14:paraId="4D10524A" w14:textId="77777777" w:rsidR="0048745F" w:rsidRPr="004E0927" w:rsidRDefault="0048745F" w:rsidP="0048745F">
            <w:pPr>
              <w:jc w:val="center"/>
              <w:rPr>
                <w:rFonts w:asciiTheme="minorHAnsi" w:hAnsiTheme="minorHAnsi" w:cstheme="minorHAnsi"/>
                <w:sz w:val="20"/>
                <w:szCs w:val="20"/>
              </w:rPr>
            </w:pPr>
            <w:r>
              <w:rPr>
                <w:rFonts w:asciiTheme="minorHAnsi" w:hAnsiTheme="minorHAnsi" w:cstheme="minorHAnsi"/>
                <w:sz w:val="20"/>
                <w:szCs w:val="20"/>
              </w:rPr>
              <w:t>uwzględniona</w:t>
            </w:r>
          </w:p>
        </w:tc>
        <w:tc>
          <w:tcPr>
            <w:tcW w:w="1900" w:type="dxa"/>
          </w:tcPr>
          <w:p w14:paraId="0631AEF6" w14:textId="4141EC4D" w:rsidR="0048745F" w:rsidRPr="004E0927" w:rsidRDefault="00D42B94" w:rsidP="0048745F">
            <w:pPr>
              <w:jc w:val="center"/>
              <w:rPr>
                <w:rFonts w:asciiTheme="minorHAnsi" w:hAnsiTheme="minorHAnsi" w:cstheme="minorHAnsi"/>
                <w:sz w:val="20"/>
                <w:szCs w:val="20"/>
              </w:rPr>
            </w:pPr>
            <w:r>
              <w:rPr>
                <w:rFonts w:asciiTheme="minorHAnsi" w:hAnsiTheme="minorHAnsi" w:cstheme="minorHAnsi"/>
                <w:sz w:val="20"/>
                <w:szCs w:val="20"/>
              </w:rPr>
              <w:t xml:space="preserve">Zapis został </w:t>
            </w:r>
            <w:r w:rsidR="0048745F">
              <w:rPr>
                <w:rFonts w:asciiTheme="minorHAnsi" w:hAnsiTheme="minorHAnsi" w:cstheme="minorHAnsi"/>
                <w:sz w:val="20"/>
                <w:szCs w:val="20"/>
              </w:rPr>
              <w:t>poprawiony</w:t>
            </w:r>
            <w:r>
              <w:rPr>
                <w:rFonts w:asciiTheme="minorHAnsi" w:hAnsiTheme="minorHAnsi" w:cstheme="minorHAnsi"/>
                <w:sz w:val="20"/>
                <w:szCs w:val="20"/>
              </w:rPr>
              <w:t xml:space="preserve"> w Programie.</w:t>
            </w:r>
          </w:p>
        </w:tc>
      </w:tr>
      <w:tr w:rsidR="00AD0C0D" w:rsidRPr="004E0927" w14:paraId="7F2AF25D" w14:textId="77777777" w:rsidTr="003A0B1E">
        <w:tc>
          <w:tcPr>
            <w:tcW w:w="533" w:type="dxa"/>
            <w:shd w:val="clear" w:color="auto" w:fill="auto"/>
            <w:vAlign w:val="center"/>
          </w:tcPr>
          <w:p w14:paraId="3592CC4B" w14:textId="77777777" w:rsidR="004E0927" w:rsidRPr="004E0927" w:rsidRDefault="004E0927" w:rsidP="00DD331D">
            <w:pPr>
              <w:pStyle w:val="Akapitzlist"/>
              <w:numPr>
                <w:ilvl w:val="0"/>
                <w:numId w:val="3"/>
              </w:numPr>
              <w:spacing w:before="120" w:after="120"/>
              <w:jc w:val="center"/>
              <w:rPr>
                <w:rFonts w:asciiTheme="minorHAnsi" w:hAnsiTheme="minorHAnsi" w:cstheme="minorHAnsi"/>
                <w:b/>
                <w:sz w:val="20"/>
                <w:szCs w:val="20"/>
              </w:rPr>
            </w:pPr>
          </w:p>
        </w:tc>
        <w:tc>
          <w:tcPr>
            <w:tcW w:w="771" w:type="dxa"/>
            <w:shd w:val="clear" w:color="auto" w:fill="auto"/>
            <w:vAlign w:val="center"/>
          </w:tcPr>
          <w:p w14:paraId="5BB43961" w14:textId="77777777" w:rsidR="004E0927" w:rsidRPr="004E0927" w:rsidRDefault="004E0927" w:rsidP="001F4962">
            <w:pPr>
              <w:spacing w:before="60" w:after="60"/>
              <w:jc w:val="center"/>
              <w:rPr>
                <w:rFonts w:asciiTheme="minorHAnsi" w:hAnsiTheme="minorHAnsi" w:cstheme="minorHAnsi"/>
                <w:b/>
                <w:sz w:val="20"/>
                <w:szCs w:val="20"/>
              </w:rPr>
            </w:pPr>
            <w:r w:rsidRPr="004E0927">
              <w:rPr>
                <w:rFonts w:asciiTheme="minorHAnsi" w:hAnsiTheme="minorHAnsi" w:cstheme="minorHAnsi"/>
                <w:b/>
                <w:sz w:val="20"/>
                <w:szCs w:val="20"/>
              </w:rPr>
              <w:t>MEiN</w:t>
            </w:r>
          </w:p>
        </w:tc>
        <w:tc>
          <w:tcPr>
            <w:tcW w:w="1318" w:type="dxa"/>
            <w:shd w:val="clear" w:color="auto" w:fill="auto"/>
          </w:tcPr>
          <w:p w14:paraId="2C0A19CD" w14:textId="77777777" w:rsidR="004E0927" w:rsidRPr="004E0927" w:rsidRDefault="004E0927" w:rsidP="004D086F">
            <w:pPr>
              <w:jc w:val="center"/>
              <w:rPr>
                <w:rFonts w:asciiTheme="minorHAnsi" w:hAnsiTheme="minorHAnsi" w:cstheme="minorHAnsi"/>
                <w:sz w:val="20"/>
                <w:szCs w:val="20"/>
              </w:rPr>
            </w:pPr>
            <w:r w:rsidRPr="004E0927">
              <w:rPr>
                <w:rFonts w:asciiTheme="minorHAnsi" w:hAnsiTheme="minorHAnsi" w:cstheme="minorHAnsi"/>
                <w:sz w:val="20"/>
                <w:szCs w:val="20"/>
              </w:rPr>
              <w:t>Zał. 1 - Diagnoza FENG</w:t>
            </w:r>
          </w:p>
        </w:tc>
        <w:tc>
          <w:tcPr>
            <w:tcW w:w="4577" w:type="dxa"/>
            <w:shd w:val="clear" w:color="auto" w:fill="auto"/>
          </w:tcPr>
          <w:p w14:paraId="1A8CA5F7" w14:textId="77777777" w:rsidR="004E0927" w:rsidRPr="004E0927" w:rsidRDefault="004E0927" w:rsidP="0095289B">
            <w:pPr>
              <w:jc w:val="both"/>
              <w:rPr>
                <w:rFonts w:asciiTheme="minorHAnsi" w:hAnsiTheme="minorHAnsi" w:cstheme="minorHAnsi"/>
                <w:sz w:val="20"/>
                <w:szCs w:val="20"/>
              </w:rPr>
            </w:pPr>
            <w:r w:rsidRPr="004E0927">
              <w:rPr>
                <w:rFonts w:asciiTheme="minorHAnsi" w:hAnsiTheme="minorHAnsi" w:cstheme="minorHAnsi"/>
                <w:sz w:val="20"/>
                <w:szCs w:val="20"/>
              </w:rPr>
              <w:t>Dokument wymaga korekty pod względem językowym i interpunkcyjnym.</w:t>
            </w:r>
          </w:p>
        </w:tc>
        <w:tc>
          <w:tcPr>
            <w:tcW w:w="4961" w:type="dxa"/>
            <w:shd w:val="clear" w:color="auto" w:fill="auto"/>
          </w:tcPr>
          <w:p w14:paraId="20C7BC10" w14:textId="77777777" w:rsidR="004E0927" w:rsidRPr="004E0927" w:rsidRDefault="004E0927" w:rsidP="004D086F">
            <w:pPr>
              <w:jc w:val="center"/>
              <w:rPr>
                <w:rFonts w:asciiTheme="minorHAnsi" w:hAnsiTheme="minorHAnsi" w:cstheme="minorHAnsi"/>
                <w:sz w:val="20"/>
                <w:szCs w:val="20"/>
              </w:rPr>
            </w:pPr>
          </w:p>
        </w:tc>
        <w:tc>
          <w:tcPr>
            <w:tcW w:w="1701" w:type="dxa"/>
          </w:tcPr>
          <w:p w14:paraId="298688A8" w14:textId="77777777" w:rsidR="004E0927" w:rsidRPr="00C35D49" w:rsidRDefault="00C35D49" w:rsidP="00D42B94">
            <w:pPr>
              <w:rPr>
                <w:rFonts w:asciiTheme="minorHAnsi" w:hAnsiTheme="minorHAnsi" w:cstheme="minorHAnsi"/>
                <w:sz w:val="20"/>
                <w:szCs w:val="20"/>
              </w:rPr>
            </w:pPr>
            <w:r w:rsidRPr="00C35D49">
              <w:rPr>
                <w:rFonts w:asciiTheme="minorHAnsi" w:hAnsiTheme="minorHAnsi" w:cstheme="minorHAnsi"/>
                <w:sz w:val="20"/>
                <w:szCs w:val="20"/>
              </w:rPr>
              <w:t>uwzględniona</w:t>
            </w:r>
          </w:p>
        </w:tc>
        <w:tc>
          <w:tcPr>
            <w:tcW w:w="1900" w:type="dxa"/>
          </w:tcPr>
          <w:p w14:paraId="3558B85F" w14:textId="77777777" w:rsidR="004E0927" w:rsidRDefault="00D42B94" w:rsidP="00D42B94">
            <w:pPr>
              <w:jc w:val="center"/>
              <w:rPr>
                <w:rFonts w:asciiTheme="minorHAnsi" w:hAnsiTheme="minorHAnsi" w:cstheme="minorHAnsi"/>
                <w:sz w:val="20"/>
                <w:szCs w:val="20"/>
              </w:rPr>
            </w:pPr>
            <w:r>
              <w:rPr>
                <w:rFonts w:asciiTheme="minorHAnsi" w:hAnsiTheme="minorHAnsi" w:cstheme="minorHAnsi"/>
                <w:sz w:val="20"/>
                <w:szCs w:val="20"/>
              </w:rPr>
              <w:t>Dokument został odpowiednio skorygowany.</w:t>
            </w:r>
          </w:p>
          <w:p w14:paraId="29355C84" w14:textId="290EBC40" w:rsidR="00D42B94" w:rsidRPr="00C35D49" w:rsidRDefault="00D42B94" w:rsidP="00D42B94">
            <w:pPr>
              <w:jc w:val="center"/>
              <w:rPr>
                <w:rFonts w:asciiTheme="minorHAnsi" w:hAnsiTheme="minorHAnsi" w:cstheme="minorHAnsi"/>
                <w:sz w:val="20"/>
                <w:szCs w:val="20"/>
              </w:rPr>
            </w:pPr>
          </w:p>
        </w:tc>
      </w:tr>
      <w:tr w:rsidR="00AD0C0D" w:rsidRPr="004E0927" w14:paraId="6CED7997" w14:textId="77777777" w:rsidTr="003A0B1E">
        <w:tc>
          <w:tcPr>
            <w:tcW w:w="533" w:type="dxa"/>
            <w:shd w:val="clear" w:color="auto" w:fill="auto"/>
            <w:vAlign w:val="center"/>
          </w:tcPr>
          <w:p w14:paraId="2DA0E5C1" w14:textId="77777777" w:rsidR="004E0927" w:rsidRPr="004E0927" w:rsidRDefault="004E0927" w:rsidP="00DD331D">
            <w:pPr>
              <w:pStyle w:val="Akapitzlist"/>
              <w:numPr>
                <w:ilvl w:val="0"/>
                <w:numId w:val="3"/>
              </w:numPr>
              <w:jc w:val="center"/>
              <w:rPr>
                <w:rFonts w:asciiTheme="minorHAnsi" w:hAnsiTheme="minorHAnsi" w:cstheme="minorHAnsi"/>
                <w:b/>
                <w:sz w:val="20"/>
                <w:szCs w:val="20"/>
              </w:rPr>
            </w:pPr>
          </w:p>
        </w:tc>
        <w:tc>
          <w:tcPr>
            <w:tcW w:w="771" w:type="dxa"/>
            <w:shd w:val="clear" w:color="auto" w:fill="auto"/>
            <w:vAlign w:val="center"/>
          </w:tcPr>
          <w:p w14:paraId="109ADC48" w14:textId="77777777" w:rsidR="004E0927" w:rsidRPr="004E0927" w:rsidRDefault="004E0927" w:rsidP="001F4962">
            <w:pPr>
              <w:jc w:val="center"/>
              <w:rPr>
                <w:rFonts w:asciiTheme="minorHAnsi" w:hAnsiTheme="minorHAnsi" w:cstheme="minorHAnsi"/>
                <w:b/>
                <w:sz w:val="20"/>
                <w:szCs w:val="20"/>
              </w:rPr>
            </w:pPr>
            <w:r w:rsidRPr="004E0927">
              <w:rPr>
                <w:rFonts w:asciiTheme="minorHAnsi" w:hAnsiTheme="minorHAnsi" w:cstheme="minorHAnsi"/>
                <w:b/>
                <w:sz w:val="20"/>
                <w:szCs w:val="20"/>
              </w:rPr>
              <w:t>MEiN</w:t>
            </w:r>
          </w:p>
        </w:tc>
        <w:tc>
          <w:tcPr>
            <w:tcW w:w="1318" w:type="dxa"/>
            <w:shd w:val="clear" w:color="auto" w:fill="auto"/>
            <w:vAlign w:val="center"/>
          </w:tcPr>
          <w:p w14:paraId="20016E5B" w14:textId="77777777" w:rsidR="004E0927" w:rsidRPr="004E0927" w:rsidRDefault="004E0927" w:rsidP="00793878">
            <w:pPr>
              <w:rPr>
                <w:rFonts w:asciiTheme="minorHAnsi" w:hAnsiTheme="minorHAnsi" w:cstheme="minorHAnsi"/>
                <w:sz w:val="20"/>
                <w:szCs w:val="20"/>
              </w:rPr>
            </w:pPr>
            <w:r w:rsidRPr="004E0927">
              <w:rPr>
                <w:rFonts w:asciiTheme="minorHAnsi" w:hAnsiTheme="minorHAnsi" w:cstheme="minorHAnsi"/>
                <w:sz w:val="20"/>
                <w:szCs w:val="20"/>
              </w:rPr>
              <w:t>Str. 5</w:t>
            </w:r>
          </w:p>
        </w:tc>
        <w:tc>
          <w:tcPr>
            <w:tcW w:w="4577" w:type="dxa"/>
            <w:shd w:val="clear" w:color="auto" w:fill="auto"/>
          </w:tcPr>
          <w:p w14:paraId="71F35560" w14:textId="77777777" w:rsidR="004E0927" w:rsidRPr="004E0927" w:rsidRDefault="004E0927" w:rsidP="0095289B">
            <w:pPr>
              <w:jc w:val="both"/>
              <w:rPr>
                <w:rFonts w:asciiTheme="minorHAnsi" w:hAnsiTheme="minorHAnsi" w:cstheme="minorHAnsi"/>
                <w:sz w:val="20"/>
                <w:szCs w:val="20"/>
              </w:rPr>
            </w:pPr>
            <w:r w:rsidRPr="004E0927">
              <w:rPr>
                <w:rFonts w:asciiTheme="minorHAnsi" w:hAnsiTheme="minorHAnsi" w:cstheme="minorHAnsi"/>
                <w:sz w:val="20"/>
                <w:szCs w:val="20"/>
              </w:rPr>
              <w:t xml:space="preserve">Dodanie w akapicie czwartym rozpoczynającym się od wyrazów: </w:t>
            </w:r>
            <w:r w:rsidRPr="004E0927">
              <w:rPr>
                <w:rFonts w:asciiTheme="minorHAnsi" w:hAnsiTheme="minorHAnsi" w:cstheme="minorHAnsi"/>
                <w:i/>
                <w:sz w:val="20"/>
                <w:szCs w:val="20"/>
              </w:rPr>
              <w:t xml:space="preserve">„Dokument „Polityka dla rozwoju sztucznej inteligencji w Polsce (…)”, </w:t>
            </w:r>
            <w:r w:rsidRPr="004E0927">
              <w:rPr>
                <w:rFonts w:asciiTheme="minorHAnsi" w:hAnsiTheme="minorHAnsi" w:cstheme="minorHAnsi"/>
                <w:sz w:val="20"/>
                <w:szCs w:val="20"/>
              </w:rPr>
              <w:t>kolejnego zdania (propozycja w kolumnie obok):</w:t>
            </w:r>
          </w:p>
          <w:p w14:paraId="1F1F262F" w14:textId="77777777" w:rsidR="004E0927" w:rsidRPr="004E0927" w:rsidRDefault="004E0927" w:rsidP="0095289B">
            <w:pPr>
              <w:jc w:val="both"/>
              <w:rPr>
                <w:rFonts w:asciiTheme="minorHAnsi" w:hAnsiTheme="minorHAnsi" w:cstheme="minorHAnsi"/>
                <w:sz w:val="20"/>
                <w:szCs w:val="20"/>
              </w:rPr>
            </w:pPr>
          </w:p>
          <w:p w14:paraId="0908988B" w14:textId="77777777" w:rsidR="004E0927" w:rsidRPr="004E0927" w:rsidRDefault="004E0927" w:rsidP="0095289B">
            <w:pPr>
              <w:jc w:val="both"/>
              <w:rPr>
                <w:rFonts w:asciiTheme="minorHAnsi" w:hAnsiTheme="minorHAnsi" w:cstheme="minorHAnsi"/>
                <w:sz w:val="20"/>
                <w:szCs w:val="20"/>
              </w:rPr>
            </w:pPr>
            <w:r w:rsidRPr="004E0927">
              <w:rPr>
                <w:rFonts w:asciiTheme="minorHAnsi" w:hAnsiTheme="minorHAnsi" w:cstheme="minorHAnsi"/>
                <w:sz w:val="20"/>
                <w:szCs w:val="20"/>
              </w:rPr>
              <w:t>Uzasadnienie: „Zintegrowana Strategia Umiejętności 2030” jest dokumentem przyjętym przez Radę Ministrów (część ogólna – uchwała 12/2019, część szczegółowa – uchwała 195/2020) i wyznacza ramy strategiczne polityki na rzecz rozwoju umiejętności niezbędnych do wzmocnienia kapitału społecznego, włączenia społecznego, wzrostu gospodarczego i osiągnięcia wysokiej jakości życia.</w:t>
            </w:r>
          </w:p>
        </w:tc>
        <w:tc>
          <w:tcPr>
            <w:tcW w:w="4961" w:type="dxa"/>
            <w:shd w:val="clear" w:color="auto" w:fill="auto"/>
          </w:tcPr>
          <w:p w14:paraId="29D0BA34" w14:textId="77777777" w:rsidR="004E0927" w:rsidRPr="004E0927" w:rsidRDefault="004E0927" w:rsidP="00793878">
            <w:pPr>
              <w:rPr>
                <w:rFonts w:asciiTheme="minorHAnsi" w:hAnsiTheme="minorHAnsi" w:cstheme="minorHAnsi"/>
                <w:color w:val="FF0000"/>
                <w:sz w:val="20"/>
                <w:szCs w:val="20"/>
              </w:rPr>
            </w:pPr>
          </w:p>
          <w:p w14:paraId="47842F16" w14:textId="77777777" w:rsidR="004E0927" w:rsidRPr="004E0927" w:rsidRDefault="004E0927" w:rsidP="00793878">
            <w:pPr>
              <w:rPr>
                <w:rFonts w:asciiTheme="minorHAnsi" w:hAnsiTheme="minorHAnsi" w:cstheme="minorHAnsi"/>
                <w:sz w:val="20"/>
                <w:szCs w:val="20"/>
              </w:rPr>
            </w:pPr>
            <w:r w:rsidRPr="004E0927">
              <w:rPr>
                <w:rFonts w:asciiTheme="minorHAnsi" w:hAnsiTheme="minorHAnsi" w:cstheme="minorHAnsi"/>
                <w:sz w:val="20"/>
                <w:szCs w:val="20"/>
              </w:rPr>
              <w:t>Dodanie zdania:</w:t>
            </w:r>
          </w:p>
          <w:p w14:paraId="350F42CC" w14:textId="77777777" w:rsidR="004E0927" w:rsidRPr="004E0927" w:rsidRDefault="004E0927" w:rsidP="00793878">
            <w:pPr>
              <w:rPr>
                <w:rFonts w:asciiTheme="minorHAnsi" w:hAnsiTheme="minorHAnsi" w:cstheme="minorHAnsi"/>
                <w:sz w:val="20"/>
                <w:szCs w:val="20"/>
              </w:rPr>
            </w:pPr>
          </w:p>
          <w:p w14:paraId="258263DA" w14:textId="77777777" w:rsidR="004E0927" w:rsidRPr="004E0927" w:rsidRDefault="004E0927" w:rsidP="00793878">
            <w:pPr>
              <w:rPr>
                <w:rFonts w:asciiTheme="minorHAnsi" w:hAnsiTheme="minorHAnsi" w:cstheme="minorHAnsi"/>
                <w:color w:val="FF0000"/>
                <w:sz w:val="20"/>
                <w:szCs w:val="20"/>
              </w:rPr>
            </w:pPr>
            <w:r w:rsidRPr="004E0927">
              <w:rPr>
                <w:rFonts w:asciiTheme="minorHAnsi" w:hAnsiTheme="minorHAnsi" w:cstheme="minorHAnsi"/>
                <w:sz w:val="20"/>
                <w:szCs w:val="20"/>
              </w:rPr>
              <w:t>Także „Zintegrowana Strategia Umiejętności 2030” wskazuje cyfryzację jako jedno z kluczowych wyzwań i zawiera wiele działań odnoszących się do powyższego obszaru.</w:t>
            </w:r>
          </w:p>
          <w:p w14:paraId="163D7093" w14:textId="77777777" w:rsidR="004E0927" w:rsidRPr="004E0927" w:rsidRDefault="004E0927" w:rsidP="00793878">
            <w:pPr>
              <w:rPr>
                <w:rFonts w:asciiTheme="minorHAnsi" w:hAnsiTheme="minorHAnsi" w:cstheme="minorHAnsi"/>
                <w:color w:val="FF0000"/>
                <w:sz w:val="20"/>
                <w:szCs w:val="20"/>
              </w:rPr>
            </w:pPr>
          </w:p>
          <w:p w14:paraId="4E146ABA" w14:textId="77777777" w:rsidR="004E0927" w:rsidRPr="004E0927" w:rsidRDefault="004E0927" w:rsidP="00793878">
            <w:pPr>
              <w:rPr>
                <w:rFonts w:asciiTheme="minorHAnsi" w:hAnsiTheme="minorHAnsi" w:cstheme="minorHAnsi"/>
                <w:sz w:val="20"/>
                <w:szCs w:val="20"/>
              </w:rPr>
            </w:pPr>
          </w:p>
        </w:tc>
        <w:tc>
          <w:tcPr>
            <w:tcW w:w="1701" w:type="dxa"/>
            <w:vAlign w:val="center"/>
          </w:tcPr>
          <w:p w14:paraId="004F4BAC" w14:textId="2C7F23ED" w:rsidR="004E0927" w:rsidRPr="0048745F" w:rsidRDefault="0048745F" w:rsidP="00B14A85">
            <w:pPr>
              <w:jc w:val="both"/>
              <w:rPr>
                <w:rFonts w:asciiTheme="minorHAnsi" w:hAnsiTheme="minorHAnsi" w:cstheme="minorHAnsi"/>
                <w:sz w:val="20"/>
                <w:szCs w:val="20"/>
              </w:rPr>
            </w:pPr>
            <w:r w:rsidRPr="0048745F">
              <w:rPr>
                <w:rFonts w:asciiTheme="minorHAnsi" w:hAnsiTheme="minorHAnsi" w:cstheme="minorHAnsi"/>
                <w:sz w:val="20"/>
                <w:szCs w:val="20"/>
              </w:rPr>
              <w:t>uwzględniona</w:t>
            </w:r>
          </w:p>
        </w:tc>
        <w:tc>
          <w:tcPr>
            <w:tcW w:w="1900" w:type="dxa"/>
          </w:tcPr>
          <w:p w14:paraId="7D16C0C0" w14:textId="77777777" w:rsidR="004E0927" w:rsidRPr="0048745F" w:rsidRDefault="0048745F" w:rsidP="002D33B8">
            <w:pPr>
              <w:jc w:val="both"/>
              <w:rPr>
                <w:rFonts w:asciiTheme="minorHAnsi" w:hAnsiTheme="minorHAnsi" w:cstheme="minorHAnsi"/>
                <w:sz w:val="20"/>
                <w:szCs w:val="20"/>
              </w:rPr>
            </w:pPr>
            <w:r w:rsidRPr="0048745F">
              <w:rPr>
                <w:rFonts w:asciiTheme="minorHAnsi" w:hAnsiTheme="minorHAnsi" w:cstheme="minorHAnsi"/>
                <w:sz w:val="20"/>
                <w:szCs w:val="20"/>
              </w:rPr>
              <w:t>Odniesienie się do strategii wprowadzono w akapicie 3.</w:t>
            </w:r>
          </w:p>
        </w:tc>
      </w:tr>
      <w:tr w:rsidR="00AD0C0D" w:rsidRPr="004E0927" w14:paraId="51A27A88" w14:textId="77777777" w:rsidTr="003A0B1E">
        <w:tc>
          <w:tcPr>
            <w:tcW w:w="533" w:type="dxa"/>
            <w:shd w:val="clear" w:color="auto" w:fill="auto"/>
            <w:vAlign w:val="center"/>
          </w:tcPr>
          <w:p w14:paraId="6D5E7709" w14:textId="77777777" w:rsidR="004E0927" w:rsidRPr="004E0927" w:rsidRDefault="004E0927" w:rsidP="00DD331D">
            <w:pPr>
              <w:pStyle w:val="Akapitzlist"/>
              <w:numPr>
                <w:ilvl w:val="0"/>
                <w:numId w:val="3"/>
              </w:numPr>
              <w:spacing w:before="120" w:after="120"/>
              <w:jc w:val="center"/>
              <w:rPr>
                <w:rFonts w:asciiTheme="minorHAnsi" w:hAnsiTheme="minorHAnsi" w:cstheme="minorHAnsi"/>
                <w:b/>
                <w:sz w:val="20"/>
                <w:szCs w:val="20"/>
              </w:rPr>
            </w:pPr>
          </w:p>
        </w:tc>
        <w:tc>
          <w:tcPr>
            <w:tcW w:w="771" w:type="dxa"/>
            <w:shd w:val="clear" w:color="auto" w:fill="auto"/>
            <w:vAlign w:val="center"/>
          </w:tcPr>
          <w:p w14:paraId="5C0984BC" w14:textId="77777777" w:rsidR="004E0927" w:rsidRPr="004E0927" w:rsidRDefault="004E0927" w:rsidP="001F4962">
            <w:pPr>
              <w:spacing w:before="60" w:after="60"/>
              <w:jc w:val="center"/>
              <w:rPr>
                <w:rFonts w:asciiTheme="minorHAnsi" w:hAnsiTheme="minorHAnsi" w:cstheme="minorHAnsi"/>
                <w:b/>
                <w:sz w:val="20"/>
                <w:szCs w:val="20"/>
              </w:rPr>
            </w:pPr>
            <w:r w:rsidRPr="004E0927">
              <w:rPr>
                <w:rFonts w:asciiTheme="minorHAnsi" w:hAnsiTheme="minorHAnsi" w:cstheme="minorHAnsi"/>
                <w:b/>
                <w:sz w:val="20"/>
                <w:szCs w:val="20"/>
              </w:rPr>
              <w:t>MEiN</w:t>
            </w:r>
          </w:p>
        </w:tc>
        <w:tc>
          <w:tcPr>
            <w:tcW w:w="1318" w:type="dxa"/>
            <w:shd w:val="clear" w:color="auto" w:fill="auto"/>
          </w:tcPr>
          <w:p w14:paraId="743612DC" w14:textId="77777777" w:rsidR="004E0927" w:rsidRPr="004E0927" w:rsidRDefault="004E0927" w:rsidP="00793878">
            <w:pPr>
              <w:jc w:val="both"/>
              <w:rPr>
                <w:rFonts w:asciiTheme="minorHAnsi" w:hAnsiTheme="minorHAnsi" w:cstheme="minorHAnsi"/>
                <w:sz w:val="20"/>
                <w:szCs w:val="20"/>
              </w:rPr>
            </w:pPr>
            <w:r w:rsidRPr="004E0927">
              <w:rPr>
                <w:rFonts w:asciiTheme="minorHAnsi" w:hAnsiTheme="minorHAnsi" w:cstheme="minorHAnsi"/>
                <w:sz w:val="20"/>
                <w:szCs w:val="20"/>
              </w:rPr>
              <w:t>Str. 7</w:t>
            </w:r>
          </w:p>
        </w:tc>
        <w:tc>
          <w:tcPr>
            <w:tcW w:w="4577" w:type="dxa"/>
            <w:shd w:val="clear" w:color="auto" w:fill="auto"/>
          </w:tcPr>
          <w:p w14:paraId="597E77B5" w14:textId="77777777" w:rsidR="004E0927" w:rsidRPr="004E0927" w:rsidRDefault="004E0927" w:rsidP="00793878">
            <w:pPr>
              <w:jc w:val="both"/>
              <w:rPr>
                <w:rFonts w:asciiTheme="minorHAnsi" w:hAnsiTheme="minorHAnsi" w:cstheme="minorHAnsi"/>
                <w:sz w:val="20"/>
                <w:szCs w:val="20"/>
              </w:rPr>
            </w:pPr>
            <w:r w:rsidRPr="004E0927">
              <w:rPr>
                <w:rFonts w:asciiTheme="minorHAnsi" w:hAnsiTheme="minorHAnsi" w:cstheme="minorHAnsi"/>
                <w:sz w:val="20"/>
                <w:szCs w:val="20"/>
              </w:rPr>
              <w:t>Proponujemy posługiwanie się definicją pojęcia „kwalifikacja” zgodną z zapisami ustawy o Zintegrowanym Systemie Kwalifikacji (dalej ZSK), a co za tym idzie zastosowanie wyraźnego rozróżnienia pomiędzy kompetencjami i kwalifikacjami (rozumianymi – zgodnie z ustawą o ZSK – jako efekty uczenia się, których osiągnięcie zostało sprawdzone w walidacji oraz formalnie potwierdzone przez uprawniony podmiot certyfikujący).</w:t>
            </w:r>
          </w:p>
        </w:tc>
        <w:tc>
          <w:tcPr>
            <w:tcW w:w="4961" w:type="dxa"/>
            <w:shd w:val="clear" w:color="auto" w:fill="auto"/>
          </w:tcPr>
          <w:p w14:paraId="63C34945" w14:textId="77777777" w:rsidR="004E0927" w:rsidRPr="004E0927" w:rsidRDefault="004E0927" w:rsidP="00793878">
            <w:pPr>
              <w:jc w:val="both"/>
              <w:rPr>
                <w:rFonts w:asciiTheme="minorHAnsi" w:hAnsiTheme="minorHAnsi" w:cstheme="minorHAnsi"/>
                <w:sz w:val="20"/>
                <w:szCs w:val="20"/>
              </w:rPr>
            </w:pPr>
            <w:r w:rsidRPr="004E0927">
              <w:rPr>
                <w:rFonts w:asciiTheme="minorHAnsi" w:hAnsiTheme="minorHAnsi" w:cstheme="minorHAnsi"/>
                <w:sz w:val="20"/>
                <w:szCs w:val="20"/>
              </w:rPr>
              <w:t xml:space="preserve">W obszarze cyfryzacji, w CSR 2019 rekomendacje wskazują na priorytetową potrzebę inwestycyjną dotyczącą umożliwienia obywatelom, przedsiębiorstwom i organom publicznym korzystania z możliwości płynących z cyfryzacji. m.in. poprzez wspieranie wdrażania technologii cyfrowych przez małe i średnie przedsiębiorstwa w celu zwiększenia ich wydajności i efektywności oraz promowanie umiejętności cyfrowych, w tym podnoszenia </w:t>
            </w:r>
            <w:r w:rsidRPr="004E0927">
              <w:rPr>
                <w:rFonts w:asciiTheme="minorHAnsi" w:hAnsiTheme="minorHAnsi" w:cstheme="minorHAnsi"/>
                <w:color w:val="FF0000"/>
                <w:sz w:val="20"/>
                <w:szCs w:val="20"/>
              </w:rPr>
              <w:t xml:space="preserve">kompetencji oraz nabywania nowych kwalifikacji  </w:t>
            </w:r>
            <w:r w:rsidRPr="004E0927">
              <w:rPr>
                <w:rFonts w:asciiTheme="minorHAnsi" w:hAnsiTheme="minorHAnsi" w:cstheme="minorHAnsi"/>
                <w:sz w:val="20"/>
                <w:szCs w:val="20"/>
              </w:rPr>
              <w:t>i przekwalifikowywania, aby wypełnić lukę pomiędzy zapotrzebowaniem na wykwalifikowanych pracowników z odpowiednimi umiejętnościami cyfrowymi a ich dostępnością.</w:t>
            </w:r>
          </w:p>
        </w:tc>
        <w:tc>
          <w:tcPr>
            <w:tcW w:w="1701" w:type="dxa"/>
          </w:tcPr>
          <w:p w14:paraId="55DED932" w14:textId="77777777" w:rsidR="004E0927" w:rsidRPr="004E0927" w:rsidRDefault="009F4F9B" w:rsidP="00793878">
            <w:pPr>
              <w:jc w:val="both"/>
              <w:rPr>
                <w:rFonts w:asciiTheme="minorHAnsi" w:hAnsiTheme="minorHAnsi" w:cstheme="minorHAnsi"/>
                <w:sz w:val="20"/>
                <w:szCs w:val="20"/>
              </w:rPr>
            </w:pPr>
            <w:r>
              <w:rPr>
                <w:rFonts w:asciiTheme="minorHAnsi" w:hAnsiTheme="minorHAnsi" w:cstheme="minorHAnsi"/>
                <w:sz w:val="20"/>
                <w:szCs w:val="20"/>
              </w:rPr>
              <w:t>uwzględniona</w:t>
            </w:r>
          </w:p>
        </w:tc>
        <w:tc>
          <w:tcPr>
            <w:tcW w:w="1900" w:type="dxa"/>
          </w:tcPr>
          <w:p w14:paraId="613F3A0A" w14:textId="0DE68528" w:rsidR="004E0927" w:rsidRPr="004E0927" w:rsidRDefault="00D42B94" w:rsidP="00793878">
            <w:pPr>
              <w:jc w:val="both"/>
              <w:rPr>
                <w:rFonts w:asciiTheme="minorHAnsi" w:hAnsiTheme="minorHAnsi" w:cstheme="minorHAnsi"/>
                <w:sz w:val="20"/>
                <w:szCs w:val="20"/>
              </w:rPr>
            </w:pPr>
            <w:r>
              <w:rPr>
                <w:rFonts w:asciiTheme="minorHAnsi" w:hAnsiTheme="minorHAnsi" w:cstheme="minorHAnsi"/>
                <w:sz w:val="20"/>
                <w:szCs w:val="20"/>
              </w:rPr>
              <w:t>Zapis został</w:t>
            </w:r>
            <w:r w:rsidR="009F4F9B">
              <w:rPr>
                <w:rFonts w:asciiTheme="minorHAnsi" w:hAnsiTheme="minorHAnsi" w:cstheme="minorHAnsi"/>
                <w:sz w:val="20"/>
                <w:szCs w:val="20"/>
              </w:rPr>
              <w:t xml:space="preserve"> uzupełniony</w:t>
            </w:r>
            <w:r>
              <w:rPr>
                <w:rFonts w:asciiTheme="minorHAnsi" w:hAnsiTheme="minorHAnsi" w:cstheme="minorHAnsi"/>
                <w:sz w:val="20"/>
                <w:szCs w:val="20"/>
              </w:rPr>
              <w:t xml:space="preserve"> w Programie.</w:t>
            </w:r>
          </w:p>
        </w:tc>
      </w:tr>
      <w:tr w:rsidR="00C35D49" w:rsidRPr="004E0927" w14:paraId="51237605" w14:textId="77777777" w:rsidTr="003A0B1E">
        <w:tc>
          <w:tcPr>
            <w:tcW w:w="533" w:type="dxa"/>
            <w:shd w:val="clear" w:color="auto" w:fill="auto"/>
            <w:vAlign w:val="center"/>
          </w:tcPr>
          <w:p w14:paraId="614398A2" w14:textId="77777777" w:rsidR="00C35D49" w:rsidRPr="004E0927" w:rsidRDefault="00C35D49" w:rsidP="00C35D49">
            <w:pPr>
              <w:pStyle w:val="Akapitzlist"/>
              <w:numPr>
                <w:ilvl w:val="0"/>
                <w:numId w:val="3"/>
              </w:numPr>
              <w:spacing w:before="120" w:after="120"/>
              <w:jc w:val="center"/>
              <w:rPr>
                <w:rFonts w:asciiTheme="minorHAnsi" w:hAnsiTheme="minorHAnsi" w:cstheme="minorHAnsi"/>
                <w:b/>
                <w:sz w:val="20"/>
                <w:szCs w:val="20"/>
              </w:rPr>
            </w:pPr>
          </w:p>
        </w:tc>
        <w:tc>
          <w:tcPr>
            <w:tcW w:w="771" w:type="dxa"/>
            <w:shd w:val="clear" w:color="auto" w:fill="auto"/>
            <w:vAlign w:val="center"/>
          </w:tcPr>
          <w:p w14:paraId="794367E6" w14:textId="77777777" w:rsidR="00C35D49" w:rsidRPr="004E0927" w:rsidRDefault="00C35D49" w:rsidP="001F4962">
            <w:pPr>
              <w:spacing w:before="60" w:after="60"/>
              <w:jc w:val="center"/>
              <w:rPr>
                <w:rFonts w:asciiTheme="minorHAnsi" w:hAnsiTheme="minorHAnsi" w:cstheme="minorHAnsi"/>
                <w:b/>
                <w:sz w:val="20"/>
                <w:szCs w:val="20"/>
              </w:rPr>
            </w:pPr>
            <w:r w:rsidRPr="004E0927">
              <w:rPr>
                <w:rFonts w:asciiTheme="minorHAnsi" w:hAnsiTheme="minorHAnsi" w:cstheme="minorHAnsi"/>
                <w:b/>
                <w:sz w:val="20"/>
                <w:szCs w:val="20"/>
              </w:rPr>
              <w:t>MEiN</w:t>
            </w:r>
          </w:p>
        </w:tc>
        <w:tc>
          <w:tcPr>
            <w:tcW w:w="1318" w:type="dxa"/>
            <w:shd w:val="clear" w:color="auto" w:fill="auto"/>
          </w:tcPr>
          <w:p w14:paraId="29F5D5B9" w14:textId="77777777" w:rsidR="00C35D49" w:rsidRPr="004E0927" w:rsidRDefault="00C35D49" w:rsidP="00C35D49">
            <w:pPr>
              <w:jc w:val="both"/>
              <w:rPr>
                <w:rFonts w:asciiTheme="minorHAnsi" w:hAnsiTheme="minorHAnsi" w:cstheme="minorHAnsi"/>
                <w:sz w:val="20"/>
                <w:szCs w:val="20"/>
              </w:rPr>
            </w:pPr>
            <w:r w:rsidRPr="004E0927">
              <w:rPr>
                <w:rFonts w:asciiTheme="minorHAnsi" w:hAnsiTheme="minorHAnsi" w:cstheme="minorHAnsi"/>
                <w:sz w:val="20"/>
                <w:szCs w:val="20"/>
              </w:rPr>
              <w:t xml:space="preserve">Uwaga generalna </w:t>
            </w:r>
          </w:p>
        </w:tc>
        <w:tc>
          <w:tcPr>
            <w:tcW w:w="4577" w:type="dxa"/>
            <w:shd w:val="clear" w:color="auto" w:fill="auto"/>
          </w:tcPr>
          <w:p w14:paraId="5714D4BA" w14:textId="77777777" w:rsidR="00C35D49" w:rsidRPr="004E0927" w:rsidRDefault="00C35D49" w:rsidP="00C35D49">
            <w:pPr>
              <w:jc w:val="both"/>
              <w:rPr>
                <w:rFonts w:asciiTheme="minorHAnsi" w:hAnsiTheme="minorHAnsi" w:cstheme="minorHAnsi"/>
                <w:sz w:val="20"/>
                <w:szCs w:val="20"/>
              </w:rPr>
            </w:pPr>
            <w:r w:rsidRPr="004E0927">
              <w:rPr>
                <w:rFonts w:asciiTheme="minorHAnsi" w:hAnsiTheme="minorHAnsi" w:cstheme="minorHAnsi"/>
                <w:sz w:val="20"/>
                <w:szCs w:val="20"/>
              </w:rPr>
              <w:t xml:space="preserve">Dokument w wielu obszarach odnosi się do rozwoju kompetencji pracowników, kadry zarządzającej i </w:t>
            </w:r>
            <w:r w:rsidRPr="004E0927">
              <w:rPr>
                <w:rFonts w:asciiTheme="minorHAnsi" w:hAnsiTheme="minorHAnsi" w:cstheme="minorHAnsi"/>
                <w:sz w:val="20"/>
                <w:szCs w:val="20"/>
              </w:rPr>
              <w:lastRenderedPageBreak/>
              <w:t>użytkowników, nabywania umiejętności itp. (np. str. 10, 12 15, 17, 23, 37, 38 i inne)</w:t>
            </w:r>
          </w:p>
          <w:p w14:paraId="5531B817" w14:textId="77777777" w:rsidR="00C35D49" w:rsidRPr="004E0927" w:rsidRDefault="00C35D49" w:rsidP="00C35D49">
            <w:pPr>
              <w:jc w:val="both"/>
              <w:rPr>
                <w:rFonts w:asciiTheme="minorHAnsi" w:hAnsiTheme="minorHAnsi" w:cstheme="minorHAnsi"/>
                <w:sz w:val="20"/>
                <w:szCs w:val="20"/>
              </w:rPr>
            </w:pPr>
          </w:p>
          <w:p w14:paraId="6F701FFF" w14:textId="77777777" w:rsidR="00C35D49" w:rsidRPr="004E0927" w:rsidRDefault="00C35D49" w:rsidP="00C35D49">
            <w:pPr>
              <w:jc w:val="both"/>
              <w:rPr>
                <w:rFonts w:asciiTheme="minorHAnsi" w:hAnsiTheme="minorHAnsi" w:cstheme="minorHAnsi"/>
                <w:sz w:val="20"/>
                <w:szCs w:val="20"/>
              </w:rPr>
            </w:pPr>
            <w:r w:rsidRPr="004E0927">
              <w:rPr>
                <w:rFonts w:asciiTheme="minorHAnsi" w:hAnsiTheme="minorHAnsi" w:cstheme="minorHAnsi"/>
                <w:sz w:val="20"/>
                <w:szCs w:val="20"/>
              </w:rPr>
              <w:t>Proponujemy rozważenie uwzględnienia w tym zakresie także potwierdzania kompetencji w postaci nabywania kwalifikacji, w tym kwalifikacji włączonych do ZSK.</w:t>
            </w:r>
          </w:p>
          <w:p w14:paraId="3B886B14" w14:textId="77777777" w:rsidR="00C35D49" w:rsidRPr="004E0927" w:rsidRDefault="00C35D49" w:rsidP="00C35D49">
            <w:pPr>
              <w:jc w:val="both"/>
              <w:rPr>
                <w:rFonts w:asciiTheme="minorHAnsi" w:hAnsiTheme="minorHAnsi" w:cstheme="minorHAnsi"/>
                <w:sz w:val="20"/>
                <w:szCs w:val="20"/>
              </w:rPr>
            </w:pPr>
          </w:p>
          <w:p w14:paraId="7B80B867" w14:textId="77777777" w:rsidR="00C35D49" w:rsidRPr="004E0927" w:rsidRDefault="00C35D49" w:rsidP="00C35D49">
            <w:pPr>
              <w:jc w:val="both"/>
              <w:rPr>
                <w:rFonts w:asciiTheme="minorHAnsi" w:hAnsiTheme="minorHAnsi" w:cstheme="minorHAnsi"/>
                <w:sz w:val="20"/>
                <w:szCs w:val="20"/>
              </w:rPr>
            </w:pPr>
            <w:r w:rsidRPr="004E0927">
              <w:rPr>
                <w:rFonts w:asciiTheme="minorHAnsi" w:hAnsiTheme="minorHAnsi" w:cstheme="minorHAnsi"/>
                <w:sz w:val="20"/>
                <w:szCs w:val="20"/>
              </w:rPr>
              <w:t xml:space="preserve">ZSK umożliwia nabywanie kwalifikacji osobom wykazującym się konkretnymi umiejętnościami niezależnie od tego, w jaki sposób je nabyły (w edukacji formalnej, w edukacji </w:t>
            </w:r>
            <w:proofErr w:type="spellStart"/>
            <w:r w:rsidRPr="004E0927">
              <w:rPr>
                <w:rFonts w:asciiTheme="minorHAnsi" w:hAnsiTheme="minorHAnsi" w:cstheme="minorHAnsi"/>
                <w:sz w:val="20"/>
                <w:szCs w:val="20"/>
              </w:rPr>
              <w:t>pozaformalnej</w:t>
            </w:r>
            <w:proofErr w:type="spellEnd"/>
            <w:r w:rsidRPr="004E0927">
              <w:rPr>
                <w:rFonts w:asciiTheme="minorHAnsi" w:hAnsiTheme="minorHAnsi" w:cstheme="minorHAnsi"/>
                <w:sz w:val="20"/>
                <w:szCs w:val="20"/>
              </w:rPr>
              <w:t xml:space="preserve"> - na kursach i szkoleniach - czy też ucząc się samodzielnie). Z tego względu jest to system wspierający uczenie się przez całe życie, w tym szybkie nabywanie nowych kwalifikacji rynkowych/uregulowanych lub przekwalifikowywanie się w zależności od aktualnych potrzeb rynku pracy (oraz gromadzenie szerokiego portfolio kwalifikacji, którymi ich posiadacz może legitymować się na rynku pracy). </w:t>
            </w:r>
          </w:p>
          <w:p w14:paraId="142F34F7" w14:textId="77777777" w:rsidR="00C35D49" w:rsidRPr="004E0927" w:rsidRDefault="00C35D49" w:rsidP="00C35D49">
            <w:pPr>
              <w:jc w:val="both"/>
              <w:rPr>
                <w:rFonts w:asciiTheme="minorHAnsi" w:hAnsiTheme="minorHAnsi" w:cstheme="minorHAnsi"/>
                <w:sz w:val="20"/>
                <w:szCs w:val="20"/>
              </w:rPr>
            </w:pPr>
          </w:p>
          <w:p w14:paraId="720FB0C8" w14:textId="77777777" w:rsidR="00C35D49" w:rsidRPr="004E0927" w:rsidRDefault="00C35D49" w:rsidP="00C35D49">
            <w:pPr>
              <w:jc w:val="both"/>
              <w:rPr>
                <w:rFonts w:asciiTheme="minorHAnsi" w:hAnsiTheme="minorHAnsi" w:cstheme="minorHAnsi"/>
                <w:sz w:val="20"/>
                <w:szCs w:val="20"/>
              </w:rPr>
            </w:pPr>
            <w:r w:rsidRPr="004E0927">
              <w:rPr>
                <w:rFonts w:asciiTheme="minorHAnsi" w:hAnsiTheme="minorHAnsi" w:cstheme="minorHAnsi"/>
                <w:sz w:val="20"/>
                <w:szCs w:val="20"/>
              </w:rPr>
              <w:t>Fakt, że w ZSK kwalifikacje nabywane są w drodze walidacji, czyli sprawdzenia przez uprawniony do tego podmiot, czy osoba ubiegająca się o nadanie określonej kwalifikacji osiągnęła umiejętności wymagane dla tej kwalifikacji, przyczynia się do wysokiej wiarygodności nadawanych w ten sposób certyfikatów.</w:t>
            </w:r>
          </w:p>
        </w:tc>
        <w:tc>
          <w:tcPr>
            <w:tcW w:w="4961" w:type="dxa"/>
            <w:shd w:val="clear" w:color="auto" w:fill="auto"/>
          </w:tcPr>
          <w:p w14:paraId="5EFDECAE" w14:textId="77777777" w:rsidR="00C35D49" w:rsidRPr="004E0927" w:rsidRDefault="00C35D49" w:rsidP="00C35D49">
            <w:pPr>
              <w:jc w:val="both"/>
              <w:rPr>
                <w:rFonts w:asciiTheme="minorHAnsi" w:hAnsiTheme="minorHAnsi" w:cstheme="minorHAnsi"/>
                <w:sz w:val="20"/>
                <w:szCs w:val="20"/>
              </w:rPr>
            </w:pPr>
          </w:p>
        </w:tc>
        <w:tc>
          <w:tcPr>
            <w:tcW w:w="1701" w:type="dxa"/>
          </w:tcPr>
          <w:p w14:paraId="4E6DAB26" w14:textId="77777777" w:rsidR="00C35D49" w:rsidRPr="004E0927" w:rsidRDefault="00C35D49" w:rsidP="00C35D49">
            <w:pPr>
              <w:jc w:val="both"/>
              <w:rPr>
                <w:rFonts w:asciiTheme="minorHAnsi" w:hAnsiTheme="minorHAnsi" w:cstheme="minorHAnsi"/>
                <w:sz w:val="20"/>
                <w:szCs w:val="20"/>
              </w:rPr>
            </w:pPr>
            <w:r>
              <w:rPr>
                <w:rFonts w:asciiTheme="minorHAnsi" w:hAnsiTheme="minorHAnsi" w:cstheme="minorHAnsi"/>
                <w:sz w:val="20"/>
                <w:szCs w:val="20"/>
              </w:rPr>
              <w:t xml:space="preserve">Uwzględniona </w:t>
            </w:r>
          </w:p>
        </w:tc>
        <w:tc>
          <w:tcPr>
            <w:tcW w:w="1900" w:type="dxa"/>
          </w:tcPr>
          <w:p w14:paraId="604BA5C6" w14:textId="5B4644B4" w:rsidR="00C35D49" w:rsidRPr="004E0927" w:rsidRDefault="00D42B94" w:rsidP="00D42B94">
            <w:pPr>
              <w:jc w:val="both"/>
              <w:rPr>
                <w:rFonts w:asciiTheme="minorHAnsi" w:hAnsiTheme="minorHAnsi" w:cstheme="minorHAnsi"/>
                <w:sz w:val="20"/>
                <w:szCs w:val="20"/>
              </w:rPr>
            </w:pPr>
            <w:r>
              <w:rPr>
                <w:rFonts w:asciiTheme="minorHAnsi" w:hAnsiTheme="minorHAnsi" w:cstheme="minorHAnsi"/>
                <w:sz w:val="20"/>
                <w:szCs w:val="20"/>
              </w:rPr>
              <w:t>Opis M</w:t>
            </w:r>
            <w:r w:rsidR="00C35D49">
              <w:rPr>
                <w:rFonts w:asciiTheme="minorHAnsi" w:hAnsiTheme="minorHAnsi" w:cstheme="minorHAnsi"/>
                <w:sz w:val="20"/>
                <w:szCs w:val="20"/>
              </w:rPr>
              <w:t>oduł</w:t>
            </w:r>
            <w:r>
              <w:rPr>
                <w:rFonts w:asciiTheme="minorHAnsi" w:hAnsiTheme="minorHAnsi" w:cstheme="minorHAnsi"/>
                <w:sz w:val="20"/>
                <w:szCs w:val="20"/>
              </w:rPr>
              <w:t>u</w:t>
            </w:r>
            <w:r w:rsidR="00C35D49">
              <w:rPr>
                <w:rFonts w:asciiTheme="minorHAnsi" w:hAnsiTheme="minorHAnsi" w:cstheme="minorHAnsi"/>
                <w:sz w:val="20"/>
                <w:szCs w:val="20"/>
              </w:rPr>
              <w:t xml:space="preserve"> Kompetencje </w:t>
            </w:r>
            <w:r>
              <w:rPr>
                <w:rFonts w:asciiTheme="minorHAnsi" w:hAnsiTheme="minorHAnsi" w:cstheme="minorHAnsi"/>
                <w:sz w:val="20"/>
                <w:szCs w:val="20"/>
              </w:rPr>
              <w:t xml:space="preserve">został </w:t>
            </w:r>
            <w:r w:rsidR="00C35D49">
              <w:rPr>
                <w:rFonts w:asciiTheme="minorHAnsi" w:hAnsiTheme="minorHAnsi" w:cstheme="minorHAnsi"/>
                <w:sz w:val="20"/>
                <w:szCs w:val="20"/>
              </w:rPr>
              <w:lastRenderedPageBreak/>
              <w:t xml:space="preserve">uzupełniony </w:t>
            </w:r>
            <w:r>
              <w:rPr>
                <w:rFonts w:asciiTheme="minorHAnsi" w:hAnsiTheme="minorHAnsi" w:cstheme="minorHAnsi"/>
                <w:sz w:val="20"/>
                <w:szCs w:val="20"/>
              </w:rPr>
              <w:br/>
            </w:r>
            <w:r w:rsidR="00C35D49">
              <w:rPr>
                <w:rFonts w:asciiTheme="minorHAnsi" w:hAnsiTheme="minorHAnsi" w:cstheme="minorHAnsi"/>
                <w:sz w:val="20"/>
                <w:szCs w:val="20"/>
              </w:rPr>
              <w:t xml:space="preserve">o zakres </w:t>
            </w:r>
            <w:r w:rsidR="00C35D49" w:rsidRPr="004E0927">
              <w:rPr>
                <w:rFonts w:asciiTheme="minorHAnsi" w:hAnsiTheme="minorHAnsi" w:cstheme="minorHAnsi"/>
                <w:sz w:val="20"/>
                <w:szCs w:val="20"/>
              </w:rPr>
              <w:t>potwierdzania kompetencji w postaci nabywania kwalifikacji, w tym kwalifikacji włączonych do ZSK</w:t>
            </w:r>
            <w:r w:rsidR="00C35D49">
              <w:rPr>
                <w:rFonts w:asciiTheme="minorHAnsi" w:hAnsiTheme="minorHAnsi" w:cstheme="minorHAnsi"/>
                <w:sz w:val="20"/>
                <w:szCs w:val="20"/>
              </w:rPr>
              <w:t>.</w:t>
            </w:r>
          </w:p>
        </w:tc>
      </w:tr>
      <w:tr w:rsidR="00C35D49" w:rsidRPr="004E0927" w14:paraId="21349686" w14:textId="77777777" w:rsidTr="003A0B1E">
        <w:tc>
          <w:tcPr>
            <w:tcW w:w="533" w:type="dxa"/>
            <w:shd w:val="clear" w:color="auto" w:fill="auto"/>
            <w:vAlign w:val="center"/>
          </w:tcPr>
          <w:p w14:paraId="58737688" w14:textId="77777777" w:rsidR="00C35D49" w:rsidRPr="004E0927" w:rsidRDefault="00C35D49" w:rsidP="00C35D49">
            <w:pPr>
              <w:pStyle w:val="Akapitzlist"/>
              <w:numPr>
                <w:ilvl w:val="0"/>
                <w:numId w:val="3"/>
              </w:numPr>
              <w:spacing w:before="120" w:after="120"/>
              <w:jc w:val="center"/>
              <w:rPr>
                <w:rFonts w:asciiTheme="minorHAnsi" w:hAnsiTheme="minorHAnsi" w:cstheme="minorHAnsi"/>
                <w:b/>
                <w:sz w:val="20"/>
                <w:szCs w:val="20"/>
              </w:rPr>
            </w:pPr>
          </w:p>
        </w:tc>
        <w:tc>
          <w:tcPr>
            <w:tcW w:w="771" w:type="dxa"/>
            <w:shd w:val="clear" w:color="auto" w:fill="auto"/>
            <w:vAlign w:val="center"/>
          </w:tcPr>
          <w:p w14:paraId="60971BA4" w14:textId="77777777" w:rsidR="00C35D49" w:rsidRPr="004E0927" w:rsidRDefault="00C35D49" w:rsidP="001F4962">
            <w:pPr>
              <w:spacing w:before="60" w:after="60"/>
              <w:jc w:val="center"/>
              <w:rPr>
                <w:rFonts w:asciiTheme="minorHAnsi" w:hAnsiTheme="minorHAnsi" w:cstheme="minorHAnsi"/>
                <w:b/>
                <w:sz w:val="20"/>
                <w:szCs w:val="20"/>
              </w:rPr>
            </w:pPr>
            <w:r w:rsidRPr="004E0927">
              <w:rPr>
                <w:rFonts w:asciiTheme="minorHAnsi" w:hAnsiTheme="minorHAnsi" w:cstheme="minorHAnsi"/>
                <w:b/>
                <w:sz w:val="20"/>
                <w:szCs w:val="20"/>
              </w:rPr>
              <w:t>MEiN</w:t>
            </w:r>
          </w:p>
        </w:tc>
        <w:tc>
          <w:tcPr>
            <w:tcW w:w="1318" w:type="dxa"/>
            <w:shd w:val="clear" w:color="auto" w:fill="auto"/>
          </w:tcPr>
          <w:p w14:paraId="200C536C" w14:textId="77777777" w:rsidR="00C35D49" w:rsidRPr="004E0927" w:rsidRDefault="00C35D49" w:rsidP="00C35D49">
            <w:pPr>
              <w:jc w:val="both"/>
              <w:rPr>
                <w:rFonts w:asciiTheme="minorHAnsi" w:hAnsiTheme="minorHAnsi" w:cstheme="minorHAnsi"/>
                <w:sz w:val="20"/>
                <w:szCs w:val="20"/>
              </w:rPr>
            </w:pPr>
            <w:r w:rsidRPr="004E0927">
              <w:rPr>
                <w:rFonts w:asciiTheme="minorHAnsi" w:hAnsiTheme="minorHAnsi" w:cstheme="minorHAnsi"/>
                <w:sz w:val="20"/>
                <w:szCs w:val="20"/>
              </w:rPr>
              <w:t>Szczegółowy opis wsparcia w ramach Priorytetu 1 dla modułu - Kompetencje</w:t>
            </w:r>
          </w:p>
          <w:p w14:paraId="13E91ED8" w14:textId="77777777" w:rsidR="00C35D49" w:rsidRPr="004E0927" w:rsidRDefault="00C35D49" w:rsidP="00C35D49">
            <w:pPr>
              <w:jc w:val="both"/>
              <w:rPr>
                <w:rFonts w:asciiTheme="minorHAnsi" w:hAnsiTheme="minorHAnsi" w:cstheme="minorHAnsi"/>
                <w:sz w:val="20"/>
                <w:szCs w:val="20"/>
              </w:rPr>
            </w:pPr>
          </w:p>
          <w:p w14:paraId="7150F851" w14:textId="77777777" w:rsidR="00C35D49" w:rsidRPr="004E0927" w:rsidRDefault="00C35D49" w:rsidP="00C35D49">
            <w:pPr>
              <w:jc w:val="both"/>
              <w:rPr>
                <w:rFonts w:asciiTheme="minorHAnsi" w:hAnsiTheme="minorHAnsi" w:cstheme="minorHAnsi"/>
                <w:sz w:val="20"/>
                <w:szCs w:val="20"/>
              </w:rPr>
            </w:pPr>
            <w:r w:rsidRPr="004E0927">
              <w:rPr>
                <w:rFonts w:asciiTheme="minorHAnsi" w:hAnsiTheme="minorHAnsi" w:cstheme="minorHAnsi"/>
                <w:sz w:val="20"/>
                <w:szCs w:val="20"/>
              </w:rPr>
              <w:t>str. 24</w:t>
            </w:r>
          </w:p>
        </w:tc>
        <w:tc>
          <w:tcPr>
            <w:tcW w:w="4577" w:type="dxa"/>
            <w:shd w:val="clear" w:color="auto" w:fill="auto"/>
          </w:tcPr>
          <w:p w14:paraId="4A532FF0" w14:textId="77777777" w:rsidR="00C35D49" w:rsidRPr="004E0927" w:rsidRDefault="00C35D49" w:rsidP="00C35D49">
            <w:pPr>
              <w:jc w:val="both"/>
              <w:rPr>
                <w:rFonts w:asciiTheme="minorHAnsi" w:hAnsiTheme="minorHAnsi" w:cstheme="minorHAnsi"/>
                <w:sz w:val="20"/>
                <w:szCs w:val="20"/>
              </w:rPr>
            </w:pPr>
          </w:p>
        </w:tc>
        <w:tc>
          <w:tcPr>
            <w:tcW w:w="4961" w:type="dxa"/>
            <w:shd w:val="clear" w:color="auto" w:fill="auto"/>
          </w:tcPr>
          <w:p w14:paraId="69061F7F" w14:textId="77777777" w:rsidR="00C35D49" w:rsidRDefault="00C35D49" w:rsidP="00C35D49">
            <w:pPr>
              <w:jc w:val="both"/>
              <w:rPr>
                <w:rFonts w:asciiTheme="minorHAnsi" w:hAnsiTheme="minorHAnsi" w:cstheme="minorHAnsi"/>
                <w:sz w:val="20"/>
                <w:szCs w:val="20"/>
              </w:rPr>
            </w:pPr>
            <w:r w:rsidRPr="004E0927">
              <w:rPr>
                <w:rFonts w:asciiTheme="minorHAnsi" w:hAnsiTheme="minorHAnsi" w:cstheme="minorHAnsi"/>
                <w:sz w:val="20"/>
                <w:szCs w:val="20"/>
              </w:rPr>
              <w:t xml:space="preserve">Realizacja prac B+R, wdrażanie ich wyników oraz wprowadzanie innowacji jest możliwe, gdy pracownicy oraz kadra zarządzająca przedsiębiorstwa posiadają odpowiednią wiedzę oraz umiejętności. Wsparcie udzielane w tym module umożliwia doskonalenie kompetencji pracowników i osób zarządzających (związanych z pracami B+R), zdobywanie przez nich nowych umiejętności oraz wiedzy, a także </w:t>
            </w:r>
            <w:r w:rsidRPr="004E0927">
              <w:rPr>
                <w:rFonts w:asciiTheme="minorHAnsi" w:hAnsiTheme="minorHAnsi" w:cstheme="minorHAnsi"/>
                <w:strike/>
                <w:sz w:val="20"/>
                <w:szCs w:val="20"/>
              </w:rPr>
              <w:t>nabywanie</w:t>
            </w:r>
            <w:r w:rsidRPr="004E0927">
              <w:rPr>
                <w:rFonts w:asciiTheme="minorHAnsi" w:hAnsiTheme="minorHAnsi" w:cstheme="minorHAnsi"/>
                <w:sz w:val="20"/>
                <w:szCs w:val="20"/>
              </w:rPr>
              <w:t xml:space="preserve"> </w:t>
            </w:r>
            <w:r w:rsidRPr="004E0927">
              <w:rPr>
                <w:rFonts w:asciiTheme="minorHAnsi" w:hAnsiTheme="minorHAnsi" w:cstheme="minorHAnsi"/>
                <w:color w:val="FF0000"/>
                <w:sz w:val="20"/>
                <w:szCs w:val="20"/>
              </w:rPr>
              <w:t>nabywania</w:t>
            </w:r>
            <w:r w:rsidRPr="004E0927">
              <w:rPr>
                <w:rFonts w:asciiTheme="minorHAnsi" w:hAnsiTheme="minorHAnsi" w:cstheme="minorHAnsi"/>
                <w:sz w:val="20"/>
                <w:szCs w:val="20"/>
              </w:rPr>
              <w:t xml:space="preserve"> kwalifikacji</w:t>
            </w:r>
            <w:r w:rsidRPr="004E0927">
              <w:rPr>
                <w:rFonts w:asciiTheme="minorHAnsi" w:hAnsiTheme="minorHAnsi" w:cstheme="minorHAnsi"/>
                <w:color w:val="FF0000"/>
                <w:sz w:val="20"/>
                <w:szCs w:val="20"/>
              </w:rPr>
              <w:t>, w tym kwalifikacji włączonych do ZSK</w:t>
            </w:r>
            <w:r w:rsidRPr="004E0927">
              <w:rPr>
                <w:rFonts w:asciiTheme="minorHAnsi" w:hAnsiTheme="minorHAnsi" w:cstheme="minorHAnsi"/>
                <w:sz w:val="20"/>
                <w:szCs w:val="20"/>
              </w:rPr>
              <w:t xml:space="preserve">, rozumiane jako formalne potwierdzanie posiadanych kompetencji </w:t>
            </w:r>
            <w:r w:rsidRPr="004E0927">
              <w:rPr>
                <w:rFonts w:asciiTheme="minorHAnsi" w:hAnsiTheme="minorHAnsi" w:cstheme="minorHAnsi"/>
                <w:color w:val="FF0000"/>
                <w:sz w:val="20"/>
                <w:szCs w:val="20"/>
              </w:rPr>
              <w:t>przez uprawniony do tego podmiot</w:t>
            </w:r>
            <w:r w:rsidRPr="004E0927">
              <w:rPr>
                <w:rFonts w:asciiTheme="minorHAnsi" w:hAnsiTheme="minorHAnsi" w:cstheme="minorHAnsi"/>
                <w:sz w:val="20"/>
                <w:szCs w:val="20"/>
              </w:rPr>
              <w:t xml:space="preserve">, w </w:t>
            </w:r>
            <w:r w:rsidRPr="004E0927">
              <w:rPr>
                <w:rFonts w:asciiTheme="minorHAnsi" w:hAnsiTheme="minorHAnsi" w:cstheme="minorHAnsi"/>
                <w:sz w:val="20"/>
                <w:szCs w:val="20"/>
              </w:rPr>
              <w:lastRenderedPageBreak/>
              <w:t xml:space="preserve">szczególności z zakresu obszarów:  prac B+R, inteligentnych specjalizacji, transformacji przemysłu w kierunku Gospodarki 4.0,  transferu technologii, zarządzania innowacjami, komercjalizacji wyników prac B+R, kompetencji z zakresu internacjonalizacji, ochrony własności przemysłowej, cyfryzacji,  polityki klimatycznej, </w:t>
            </w:r>
            <w:proofErr w:type="spellStart"/>
            <w:r w:rsidRPr="004E0927">
              <w:rPr>
                <w:rFonts w:asciiTheme="minorHAnsi" w:hAnsiTheme="minorHAnsi" w:cstheme="minorHAnsi"/>
                <w:sz w:val="20"/>
                <w:szCs w:val="20"/>
              </w:rPr>
              <w:t>ekoprojektowania</w:t>
            </w:r>
            <w:proofErr w:type="spellEnd"/>
            <w:r w:rsidRPr="004E0927">
              <w:rPr>
                <w:rFonts w:asciiTheme="minorHAnsi" w:hAnsiTheme="minorHAnsi" w:cstheme="minorHAnsi"/>
                <w:sz w:val="20"/>
                <w:szCs w:val="20"/>
              </w:rPr>
              <w:t>, gospodarki o obiegu zamkniętym, gospodarki niskoemisyjnej, a także kompetencji niezbędnych do obsługi infrastruktury badawczej sfinansowanej w ramach kompleksowego projektu.</w:t>
            </w:r>
          </w:p>
          <w:p w14:paraId="7462F568" w14:textId="77777777" w:rsidR="00D42B94" w:rsidRPr="004E0927" w:rsidRDefault="00D42B94" w:rsidP="00C35D49">
            <w:pPr>
              <w:jc w:val="both"/>
              <w:rPr>
                <w:rFonts w:asciiTheme="minorHAnsi" w:hAnsiTheme="minorHAnsi" w:cstheme="minorHAnsi"/>
                <w:sz w:val="20"/>
                <w:szCs w:val="20"/>
              </w:rPr>
            </w:pPr>
          </w:p>
        </w:tc>
        <w:tc>
          <w:tcPr>
            <w:tcW w:w="1701" w:type="dxa"/>
          </w:tcPr>
          <w:p w14:paraId="136D9437" w14:textId="77777777" w:rsidR="00C35D49" w:rsidRPr="004E0927" w:rsidRDefault="00C35D49" w:rsidP="00C35D49">
            <w:pPr>
              <w:jc w:val="both"/>
              <w:rPr>
                <w:rFonts w:asciiTheme="minorHAnsi" w:hAnsiTheme="minorHAnsi" w:cstheme="minorHAnsi"/>
                <w:sz w:val="20"/>
                <w:szCs w:val="20"/>
              </w:rPr>
            </w:pPr>
            <w:r>
              <w:rPr>
                <w:rFonts w:asciiTheme="minorHAnsi" w:hAnsiTheme="minorHAnsi" w:cstheme="minorHAnsi"/>
                <w:sz w:val="20"/>
                <w:szCs w:val="20"/>
              </w:rPr>
              <w:lastRenderedPageBreak/>
              <w:t>Uwzględniona</w:t>
            </w:r>
          </w:p>
        </w:tc>
        <w:tc>
          <w:tcPr>
            <w:tcW w:w="1900" w:type="dxa"/>
          </w:tcPr>
          <w:p w14:paraId="6DDBB827" w14:textId="6070F8D0" w:rsidR="00C35D49" w:rsidRPr="004E0927" w:rsidRDefault="00D42B94" w:rsidP="00D42B94">
            <w:pPr>
              <w:jc w:val="both"/>
              <w:rPr>
                <w:rFonts w:asciiTheme="minorHAnsi" w:hAnsiTheme="minorHAnsi" w:cstheme="minorHAnsi"/>
                <w:sz w:val="20"/>
                <w:szCs w:val="20"/>
              </w:rPr>
            </w:pPr>
            <w:r>
              <w:rPr>
                <w:rFonts w:asciiTheme="minorHAnsi" w:hAnsiTheme="minorHAnsi" w:cstheme="minorHAnsi"/>
                <w:sz w:val="20"/>
                <w:szCs w:val="20"/>
              </w:rPr>
              <w:t>Zapis został</w:t>
            </w:r>
            <w:r w:rsidR="00C35D49">
              <w:rPr>
                <w:rFonts w:asciiTheme="minorHAnsi" w:hAnsiTheme="minorHAnsi" w:cstheme="minorHAnsi"/>
                <w:sz w:val="20"/>
                <w:szCs w:val="20"/>
              </w:rPr>
              <w:t xml:space="preserve"> uzupełniony</w:t>
            </w:r>
            <w:r>
              <w:rPr>
                <w:rFonts w:asciiTheme="minorHAnsi" w:hAnsiTheme="minorHAnsi" w:cstheme="minorHAnsi"/>
                <w:sz w:val="20"/>
                <w:szCs w:val="20"/>
              </w:rPr>
              <w:t xml:space="preserve"> w Programie.</w:t>
            </w:r>
          </w:p>
        </w:tc>
      </w:tr>
      <w:tr w:rsidR="00AD0C0D" w:rsidRPr="004E0927" w14:paraId="29B5CE7B" w14:textId="77777777" w:rsidTr="003A0B1E">
        <w:tc>
          <w:tcPr>
            <w:tcW w:w="533" w:type="dxa"/>
            <w:shd w:val="clear" w:color="auto" w:fill="auto"/>
            <w:vAlign w:val="center"/>
          </w:tcPr>
          <w:p w14:paraId="797F4AF3" w14:textId="77777777" w:rsidR="004E0927" w:rsidRPr="004E0927" w:rsidRDefault="004E0927" w:rsidP="00DD331D">
            <w:pPr>
              <w:pStyle w:val="Akapitzlist"/>
              <w:numPr>
                <w:ilvl w:val="0"/>
                <w:numId w:val="3"/>
              </w:numPr>
              <w:spacing w:before="120" w:after="120"/>
              <w:jc w:val="center"/>
              <w:rPr>
                <w:rFonts w:asciiTheme="minorHAnsi" w:hAnsiTheme="minorHAnsi" w:cstheme="minorHAnsi"/>
                <w:b/>
                <w:sz w:val="20"/>
                <w:szCs w:val="20"/>
              </w:rPr>
            </w:pPr>
          </w:p>
        </w:tc>
        <w:tc>
          <w:tcPr>
            <w:tcW w:w="771" w:type="dxa"/>
            <w:shd w:val="clear" w:color="auto" w:fill="auto"/>
            <w:vAlign w:val="center"/>
          </w:tcPr>
          <w:p w14:paraId="236B35EE" w14:textId="77777777" w:rsidR="004E0927" w:rsidRPr="004E0927" w:rsidRDefault="004E0927" w:rsidP="001F4962">
            <w:pPr>
              <w:spacing w:before="60" w:after="60"/>
              <w:jc w:val="center"/>
              <w:rPr>
                <w:rFonts w:asciiTheme="minorHAnsi" w:hAnsiTheme="minorHAnsi" w:cstheme="minorHAnsi"/>
                <w:b/>
                <w:sz w:val="20"/>
                <w:szCs w:val="20"/>
              </w:rPr>
            </w:pPr>
            <w:r w:rsidRPr="004E0927">
              <w:rPr>
                <w:rFonts w:asciiTheme="minorHAnsi" w:hAnsiTheme="minorHAnsi" w:cstheme="minorHAnsi"/>
                <w:b/>
                <w:sz w:val="20"/>
                <w:szCs w:val="20"/>
              </w:rPr>
              <w:t>MEiN</w:t>
            </w:r>
          </w:p>
        </w:tc>
        <w:tc>
          <w:tcPr>
            <w:tcW w:w="1318" w:type="dxa"/>
            <w:shd w:val="clear" w:color="auto" w:fill="auto"/>
          </w:tcPr>
          <w:p w14:paraId="6300A36E" w14:textId="77777777" w:rsidR="004E0927" w:rsidRPr="004E0927" w:rsidRDefault="004E0927" w:rsidP="00793878">
            <w:pPr>
              <w:rPr>
                <w:rFonts w:asciiTheme="minorHAnsi" w:hAnsiTheme="minorHAnsi" w:cstheme="minorHAnsi"/>
                <w:sz w:val="20"/>
                <w:szCs w:val="20"/>
              </w:rPr>
            </w:pPr>
            <w:r w:rsidRPr="004E0927">
              <w:rPr>
                <w:rFonts w:asciiTheme="minorHAnsi" w:hAnsiTheme="minorHAnsi" w:cstheme="minorHAnsi"/>
                <w:sz w:val="20"/>
                <w:szCs w:val="20"/>
              </w:rPr>
              <w:t xml:space="preserve">Załącznik 1 </w:t>
            </w:r>
          </w:p>
          <w:p w14:paraId="2A8AA71A" w14:textId="77777777" w:rsidR="004E0927" w:rsidRPr="004E0927" w:rsidRDefault="004E0927" w:rsidP="00793878">
            <w:pPr>
              <w:rPr>
                <w:rFonts w:asciiTheme="minorHAnsi" w:hAnsiTheme="minorHAnsi" w:cstheme="minorHAnsi"/>
                <w:sz w:val="20"/>
                <w:szCs w:val="20"/>
              </w:rPr>
            </w:pPr>
            <w:r w:rsidRPr="004E0927">
              <w:rPr>
                <w:rFonts w:asciiTheme="minorHAnsi" w:hAnsiTheme="minorHAnsi" w:cstheme="minorHAnsi"/>
                <w:sz w:val="20"/>
                <w:szCs w:val="20"/>
              </w:rPr>
              <w:t>Diagnoza FENG</w:t>
            </w:r>
          </w:p>
          <w:p w14:paraId="243958C1" w14:textId="77777777" w:rsidR="004E0927" w:rsidRPr="004E0927" w:rsidRDefault="004E0927" w:rsidP="00793878">
            <w:pPr>
              <w:rPr>
                <w:rFonts w:asciiTheme="minorHAnsi" w:hAnsiTheme="minorHAnsi" w:cstheme="minorHAnsi"/>
                <w:sz w:val="20"/>
                <w:szCs w:val="20"/>
              </w:rPr>
            </w:pPr>
            <w:r w:rsidRPr="004E0927">
              <w:rPr>
                <w:rFonts w:asciiTheme="minorHAnsi" w:hAnsiTheme="minorHAnsi" w:cstheme="minorHAnsi"/>
                <w:sz w:val="20"/>
                <w:szCs w:val="20"/>
              </w:rPr>
              <w:t>Str. 4</w:t>
            </w:r>
          </w:p>
        </w:tc>
        <w:tc>
          <w:tcPr>
            <w:tcW w:w="4577" w:type="dxa"/>
            <w:shd w:val="clear" w:color="auto" w:fill="auto"/>
          </w:tcPr>
          <w:p w14:paraId="470EA274" w14:textId="77777777" w:rsidR="004E0927" w:rsidRPr="004E0927" w:rsidRDefault="004E0927" w:rsidP="00793878">
            <w:pPr>
              <w:jc w:val="both"/>
              <w:rPr>
                <w:rFonts w:asciiTheme="minorHAnsi" w:hAnsiTheme="minorHAnsi" w:cstheme="minorHAnsi"/>
                <w:sz w:val="20"/>
                <w:szCs w:val="20"/>
              </w:rPr>
            </w:pPr>
            <w:r w:rsidRPr="004E0927">
              <w:rPr>
                <w:rFonts w:asciiTheme="minorHAnsi" w:hAnsiTheme="minorHAnsi" w:cstheme="minorHAnsi"/>
                <w:sz w:val="20"/>
                <w:szCs w:val="20"/>
              </w:rPr>
              <w:t xml:space="preserve">W polskim systemie oświaty nieznane jest pojęcie „szkoła średnia”. W związku z art. 18 ustawy z dnia 14 grudnia 2016 r. Prawo oświatowe, proponujemy zastąpienie pojęcia „szkoła średnia” na „szkoła ponadpodstawowa”. </w:t>
            </w:r>
          </w:p>
        </w:tc>
        <w:tc>
          <w:tcPr>
            <w:tcW w:w="4961" w:type="dxa"/>
            <w:shd w:val="clear" w:color="auto" w:fill="auto"/>
          </w:tcPr>
          <w:p w14:paraId="2AF34678" w14:textId="77777777" w:rsidR="004E0927" w:rsidRDefault="004E0927" w:rsidP="00793878">
            <w:pPr>
              <w:jc w:val="both"/>
              <w:rPr>
                <w:rFonts w:asciiTheme="minorHAnsi" w:hAnsiTheme="minorHAnsi" w:cstheme="minorHAnsi"/>
                <w:sz w:val="20"/>
                <w:szCs w:val="20"/>
              </w:rPr>
            </w:pPr>
            <w:r w:rsidRPr="004E0927">
              <w:rPr>
                <w:rFonts w:asciiTheme="minorHAnsi" w:hAnsiTheme="minorHAnsi" w:cstheme="minorHAnsi"/>
                <w:sz w:val="20"/>
                <w:szCs w:val="20"/>
              </w:rPr>
              <w:t xml:space="preserve">Kluczowe zatem jest  wsparcie  pracowników  w rozwijaniu umiejętności oraz nabywaniu nowych kwalifikacji, w tym kwalifikacji włączonych do ZSK – co  zostało podkreślone w części szczegółowej „Zintegrowanej Strategii Umiejętności 2030” (Obszar oddziaływania V. Rozwijanie i wykorzystanie umiejętności w miejscu pracy), a także dbanie o dostosowanie kompetencji przyszłych pracowników do rzeczywistych potrzeb firm z sektora ICT już na etapie kształcenia w </w:t>
            </w:r>
            <w:r w:rsidRPr="004E0927">
              <w:rPr>
                <w:rFonts w:asciiTheme="minorHAnsi" w:hAnsiTheme="minorHAnsi" w:cstheme="minorHAnsi"/>
                <w:color w:val="FF0000"/>
                <w:sz w:val="20"/>
                <w:szCs w:val="20"/>
              </w:rPr>
              <w:t>szkołach ponadpodstawowych</w:t>
            </w:r>
            <w:r w:rsidRPr="004E0927">
              <w:rPr>
                <w:rFonts w:asciiTheme="minorHAnsi" w:hAnsiTheme="minorHAnsi" w:cstheme="minorHAnsi"/>
                <w:sz w:val="20"/>
                <w:szCs w:val="20"/>
              </w:rPr>
              <w:t>.</w:t>
            </w:r>
          </w:p>
          <w:p w14:paraId="177B1AC7" w14:textId="77777777" w:rsidR="00D42B94" w:rsidRPr="004E0927" w:rsidRDefault="00D42B94" w:rsidP="00793878">
            <w:pPr>
              <w:jc w:val="both"/>
              <w:rPr>
                <w:rFonts w:asciiTheme="minorHAnsi" w:hAnsiTheme="minorHAnsi" w:cstheme="minorHAnsi"/>
                <w:sz w:val="20"/>
                <w:szCs w:val="20"/>
              </w:rPr>
            </w:pPr>
          </w:p>
        </w:tc>
        <w:tc>
          <w:tcPr>
            <w:tcW w:w="1701" w:type="dxa"/>
          </w:tcPr>
          <w:p w14:paraId="68BF0794" w14:textId="77777777" w:rsidR="004E0927" w:rsidRPr="004E0927" w:rsidRDefault="002D33B8" w:rsidP="00793878">
            <w:pPr>
              <w:jc w:val="both"/>
              <w:rPr>
                <w:rFonts w:asciiTheme="minorHAnsi" w:hAnsiTheme="minorHAnsi" w:cstheme="minorHAnsi"/>
                <w:sz w:val="20"/>
                <w:szCs w:val="20"/>
              </w:rPr>
            </w:pPr>
            <w:r>
              <w:rPr>
                <w:rFonts w:asciiTheme="minorHAnsi" w:hAnsiTheme="minorHAnsi" w:cstheme="minorHAnsi"/>
                <w:sz w:val="20"/>
                <w:szCs w:val="20"/>
              </w:rPr>
              <w:t>uwzględniona</w:t>
            </w:r>
          </w:p>
        </w:tc>
        <w:tc>
          <w:tcPr>
            <w:tcW w:w="1900" w:type="dxa"/>
          </w:tcPr>
          <w:p w14:paraId="039296F4" w14:textId="162B1E97" w:rsidR="004E0927" w:rsidRPr="004E0927" w:rsidRDefault="00D42B94" w:rsidP="00D42B94">
            <w:pPr>
              <w:jc w:val="both"/>
              <w:rPr>
                <w:rFonts w:asciiTheme="minorHAnsi" w:hAnsiTheme="minorHAnsi" w:cstheme="minorHAnsi"/>
                <w:sz w:val="20"/>
                <w:szCs w:val="20"/>
              </w:rPr>
            </w:pPr>
            <w:r>
              <w:rPr>
                <w:rFonts w:asciiTheme="minorHAnsi" w:hAnsiTheme="minorHAnsi" w:cstheme="minorHAnsi"/>
                <w:sz w:val="20"/>
                <w:szCs w:val="20"/>
              </w:rPr>
              <w:t>Zapis został</w:t>
            </w:r>
            <w:r w:rsidR="002D33B8">
              <w:rPr>
                <w:rFonts w:asciiTheme="minorHAnsi" w:hAnsiTheme="minorHAnsi" w:cstheme="minorHAnsi"/>
                <w:sz w:val="20"/>
                <w:szCs w:val="20"/>
              </w:rPr>
              <w:t xml:space="preserve"> poprawiony</w:t>
            </w:r>
            <w:r>
              <w:rPr>
                <w:rFonts w:asciiTheme="minorHAnsi" w:hAnsiTheme="minorHAnsi" w:cstheme="minorHAnsi"/>
                <w:sz w:val="20"/>
                <w:szCs w:val="20"/>
              </w:rPr>
              <w:t xml:space="preserve"> w Diagnozie (zał. 1).</w:t>
            </w:r>
          </w:p>
        </w:tc>
      </w:tr>
      <w:tr w:rsidR="00AD0C0D" w:rsidRPr="004E0927" w14:paraId="2F94CEC5" w14:textId="77777777" w:rsidTr="003A0B1E">
        <w:tc>
          <w:tcPr>
            <w:tcW w:w="533" w:type="dxa"/>
            <w:shd w:val="clear" w:color="auto" w:fill="auto"/>
            <w:vAlign w:val="center"/>
          </w:tcPr>
          <w:p w14:paraId="3EBF153B" w14:textId="77777777" w:rsidR="004E0927" w:rsidRPr="004E0927" w:rsidRDefault="004E0927" w:rsidP="00DD331D">
            <w:pPr>
              <w:pStyle w:val="Akapitzlist"/>
              <w:numPr>
                <w:ilvl w:val="0"/>
                <w:numId w:val="3"/>
              </w:numPr>
              <w:spacing w:before="120" w:after="120"/>
              <w:jc w:val="center"/>
              <w:rPr>
                <w:rFonts w:asciiTheme="minorHAnsi" w:hAnsiTheme="minorHAnsi" w:cstheme="minorHAnsi"/>
                <w:b/>
                <w:sz w:val="20"/>
                <w:szCs w:val="20"/>
              </w:rPr>
            </w:pPr>
          </w:p>
        </w:tc>
        <w:tc>
          <w:tcPr>
            <w:tcW w:w="771" w:type="dxa"/>
            <w:shd w:val="clear" w:color="auto" w:fill="auto"/>
            <w:vAlign w:val="center"/>
          </w:tcPr>
          <w:p w14:paraId="439E5C63" w14:textId="77777777" w:rsidR="004E0927" w:rsidRPr="004E0927" w:rsidRDefault="004E0927" w:rsidP="001F4962">
            <w:pPr>
              <w:spacing w:before="60" w:after="60"/>
              <w:jc w:val="center"/>
              <w:rPr>
                <w:rFonts w:asciiTheme="minorHAnsi" w:hAnsiTheme="minorHAnsi" w:cstheme="minorHAnsi"/>
                <w:b/>
                <w:sz w:val="20"/>
                <w:szCs w:val="20"/>
              </w:rPr>
            </w:pPr>
            <w:r w:rsidRPr="004E0927">
              <w:rPr>
                <w:rFonts w:asciiTheme="minorHAnsi" w:hAnsiTheme="minorHAnsi" w:cstheme="minorHAnsi"/>
                <w:b/>
                <w:sz w:val="20"/>
                <w:szCs w:val="20"/>
              </w:rPr>
              <w:t>MEiN</w:t>
            </w:r>
          </w:p>
        </w:tc>
        <w:tc>
          <w:tcPr>
            <w:tcW w:w="1318" w:type="dxa"/>
            <w:shd w:val="clear" w:color="auto" w:fill="auto"/>
          </w:tcPr>
          <w:p w14:paraId="2D4B27A5" w14:textId="77777777" w:rsidR="004E0927" w:rsidRPr="004E0927" w:rsidRDefault="004E0927" w:rsidP="00793878">
            <w:pPr>
              <w:rPr>
                <w:rFonts w:asciiTheme="minorHAnsi" w:hAnsiTheme="minorHAnsi" w:cstheme="minorHAnsi"/>
                <w:sz w:val="20"/>
                <w:szCs w:val="20"/>
              </w:rPr>
            </w:pPr>
            <w:r w:rsidRPr="004E0927">
              <w:rPr>
                <w:rFonts w:asciiTheme="minorHAnsi" w:hAnsiTheme="minorHAnsi" w:cstheme="minorHAnsi"/>
                <w:sz w:val="20"/>
                <w:szCs w:val="20"/>
              </w:rPr>
              <w:t>Załącznik 1 Diagnoza FENG</w:t>
            </w:r>
          </w:p>
          <w:p w14:paraId="373CAB13" w14:textId="77777777" w:rsidR="004E0927" w:rsidRPr="004E0927" w:rsidRDefault="004E0927" w:rsidP="00793878">
            <w:pPr>
              <w:rPr>
                <w:rFonts w:asciiTheme="minorHAnsi" w:hAnsiTheme="minorHAnsi" w:cstheme="minorHAnsi"/>
                <w:sz w:val="20"/>
                <w:szCs w:val="20"/>
              </w:rPr>
            </w:pPr>
            <w:r w:rsidRPr="004E0927">
              <w:rPr>
                <w:rFonts w:asciiTheme="minorHAnsi" w:hAnsiTheme="minorHAnsi" w:cstheme="minorHAnsi"/>
                <w:sz w:val="20"/>
                <w:szCs w:val="20"/>
              </w:rPr>
              <w:t>Str. 4</w:t>
            </w:r>
          </w:p>
        </w:tc>
        <w:tc>
          <w:tcPr>
            <w:tcW w:w="4577" w:type="dxa"/>
            <w:shd w:val="clear" w:color="auto" w:fill="auto"/>
          </w:tcPr>
          <w:p w14:paraId="2D7BD258" w14:textId="77777777" w:rsidR="004E0927" w:rsidRPr="004E0927" w:rsidRDefault="004E0927" w:rsidP="00793878">
            <w:pPr>
              <w:jc w:val="both"/>
              <w:rPr>
                <w:rFonts w:asciiTheme="minorHAnsi" w:hAnsiTheme="minorHAnsi" w:cstheme="minorHAnsi"/>
                <w:sz w:val="20"/>
                <w:szCs w:val="20"/>
              </w:rPr>
            </w:pPr>
            <w:r w:rsidRPr="004E0927">
              <w:rPr>
                <w:rFonts w:asciiTheme="minorHAnsi" w:hAnsiTheme="minorHAnsi" w:cstheme="minorHAnsi"/>
                <w:sz w:val="20"/>
                <w:szCs w:val="20"/>
              </w:rPr>
              <w:t>Jw. – uwaga nr 17</w:t>
            </w:r>
          </w:p>
        </w:tc>
        <w:tc>
          <w:tcPr>
            <w:tcW w:w="4961" w:type="dxa"/>
            <w:shd w:val="clear" w:color="auto" w:fill="auto"/>
          </w:tcPr>
          <w:p w14:paraId="024136AA" w14:textId="77777777" w:rsidR="004E0927" w:rsidRPr="004E0927" w:rsidRDefault="004E0927" w:rsidP="00793878">
            <w:pPr>
              <w:jc w:val="both"/>
              <w:rPr>
                <w:rFonts w:asciiTheme="minorHAnsi" w:hAnsiTheme="minorHAnsi" w:cstheme="minorHAnsi"/>
                <w:sz w:val="20"/>
                <w:szCs w:val="20"/>
              </w:rPr>
            </w:pPr>
            <w:r w:rsidRPr="004E0927">
              <w:rPr>
                <w:rFonts w:asciiTheme="minorHAnsi" w:hAnsiTheme="minorHAnsi" w:cstheme="minorHAnsi"/>
                <w:sz w:val="20"/>
                <w:szCs w:val="20"/>
              </w:rPr>
              <w:t xml:space="preserve">W celu zapewnienia kompatybilności pomiędzy rozwijającą się technologią i procesem produkcji, a siłą roboczą konieczne będzie zapewnienie możliwości ciągłego rozwijania umiejętności, podnoszenia kompetencji i szkolenia się pracowników, </w:t>
            </w:r>
            <w:r w:rsidRPr="004E0927">
              <w:rPr>
                <w:rFonts w:asciiTheme="minorHAnsi" w:hAnsiTheme="minorHAnsi" w:cstheme="minorHAnsi"/>
                <w:color w:val="FF0000"/>
                <w:sz w:val="20"/>
                <w:szCs w:val="20"/>
              </w:rPr>
              <w:t>a także nabywania przez nich nowych kwalifikacji, w tym kwalifikacji włączonych do Zintegrowanego Systemu Kwalifikacji (ZSK).</w:t>
            </w:r>
          </w:p>
        </w:tc>
        <w:tc>
          <w:tcPr>
            <w:tcW w:w="1701" w:type="dxa"/>
          </w:tcPr>
          <w:p w14:paraId="1ADAD02E" w14:textId="77777777" w:rsidR="004E0927" w:rsidRPr="004E0927" w:rsidRDefault="002D33B8" w:rsidP="00793878">
            <w:pPr>
              <w:jc w:val="both"/>
              <w:rPr>
                <w:rFonts w:asciiTheme="minorHAnsi" w:hAnsiTheme="minorHAnsi" w:cstheme="minorHAnsi"/>
                <w:sz w:val="20"/>
                <w:szCs w:val="20"/>
              </w:rPr>
            </w:pPr>
            <w:r>
              <w:rPr>
                <w:rFonts w:asciiTheme="minorHAnsi" w:hAnsiTheme="minorHAnsi" w:cstheme="minorHAnsi"/>
                <w:sz w:val="20"/>
                <w:szCs w:val="20"/>
              </w:rPr>
              <w:t>uwzględniona</w:t>
            </w:r>
          </w:p>
        </w:tc>
        <w:tc>
          <w:tcPr>
            <w:tcW w:w="1900" w:type="dxa"/>
          </w:tcPr>
          <w:p w14:paraId="577145EF" w14:textId="121424FE" w:rsidR="004E0927" w:rsidRPr="004E0927" w:rsidRDefault="002D33B8" w:rsidP="00793878">
            <w:pPr>
              <w:jc w:val="both"/>
              <w:rPr>
                <w:rFonts w:asciiTheme="minorHAnsi" w:hAnsiTheme="minorHAnsi" w:cstheme="minorHAnsi"/>
                <w:sz w:val="20"/>
                <w:szCs w:val="20"/>
              </w:rPr>
            </w:pPr>
            <w:r>
              <w:rPr>
                <w:rFonts w:asciiTheme="minorHAnsi" w:hAnsiTheme="minorHAnsi" w:cstheme="minorHAnsi"/>
                <w:sz w:val="20"/>
                <w:szCs w:val="20"/>
              </w:rPr>
              <w:t>W tekście</w:t>
            </w:r>
            <w:r w:rsidR="00D42B94">
              <w:rPr>
                <w:rFonts w:asciiTheme="minorHAnsi" w:hAnsiTheme="minorHAnsi" w:cstheme="minorHAnsi"/>
                <w:sz w:val="20"/>
                <w:szCs w:val="20"/>
              </w:rPr>
              <w:t xml:space="preserve"> diagnozy (zał. 1) uwzględniony został</w:t>
            </w:r>
            <w:r>
              <w:rPr>
                <w:rFonts w:asciiTheme="minorHAnsi" w:hAnsiTheme="minorHAnsi" w:cstheme="minorHAnsi"/>
                <w:sz w:val="20"/>
                <w:szCs w:val="20"/>
              </w:rPr>
              <w:t xml:space="preserve"> zapis dotyczący nabywania nowych kwalifikacji. </w:t>
            </w:r>
          </w:p>
        </w:tc>
      </w:tr>
      <w:tr w:rsidR="00AD0C0D" w:rsidRPr="004E0927" w14:paraId="1AE99411" w14:textId="77777777" w:rsidTr="003A0B1E">
        <w:tc>
          <w:tcPr>
            <w:tcW w:w="533" w:type="dxa"/>
            <w:shd w:val="clear" w:color="auto" w:fill="auto"/>
            <w:vAlign w:val="center"/>
          </w:tcPr>
          <w:p w14:paraId="7ACD3973" w14:textId="77777777" w:rsidR="004E0927" w:rsidRPr="004E0927" w:rsidRDefault="004E0927" w:rsidP="00DD331D">
            <w:pPr>
              <w:pStyle w:val="Akapitzlist"/>
              <w:numPr>
                <w:ilvl w:val="0"/>
                <w:numId w:val="3"/>
              </w:numPr>
              <w:spacing w:before="120" w:after="120"/>
              <w:jc w:val="center"/>
              <w:rPr>
                <w:rFonts w:asciiTheme="minorHAnsi" w:hAnsiTheme="minorHAnsi" w:cstheme="minorHAnsi"/>
                <w:b/>
                <w:sz w:val="20"/>
                <w:szCs w:val="20"/>
              </w:rPr>
            </w:pPr>
          </w:p>
        </w:tc>
        <w:tc>
          <w:tcPr>
            <w:tcW w:w="771" w:type="dxa"/>
            <w:shd w:val="clear" w:color="auto" w:fill="auto"/>
            <w:vAlign w:val="center"/>
          </w:tcPr>
          <w:p w14:paraId="2E21E179" w14:textId="77777777" w:rsidR="004E0927" w:rsidRPr="004E0927" w:rsidRDefault="004E0927" w:rsidP="001F4962">
            <w:pPr>
              <w:spacing w:before="60" w:after="60"/>
              <w:jc w:val="center"/>
              <w:rPr>
                <w:rFonts w:asciiTheme="minorHAnsi" w:hAnsiTheme="minorHAnsi" w:cstheme="minorHAnsi"/>
                <w:b/>
                <w:sz w:val="20"/>
                <w:szCs w:val="20"/>
              </w:rPr>
            </w:pPr>
            <w:r w:rsidRPr="004E0927">
              <w:rPr>
                <w:rFonts w:asciiTheme="minorHAnsi" w:hAnsiTheme="minorHAnsi" w:cstheme="minorHAnsi"/>
                <w:b/>
                <w:sz w:val="20"/>
                <w:szCs w:val="20"/>
              </w:rPr>
              <w:t>MEiN</w:t>
            </w:r>
          </w:p>
        </w:tc>
        <w:tc>
          <w:tcPr>
            <w:tcW w:w="1318" w:type="dxa"/>
            <w:shd w:val="clear" w:color="auto" w:fill="auto"/>
          </w:tcPr>
          <w:p w14:paraId="64D399A0" w14:textId="77777777" w:rsidR="004E0927" w:rsidRPr="004E0927" w:rsidRDefault="004E0927" w:rsidP="00793878">
            <w:pPr>
              <w:rPr>
                <w:rFonts w:asciiTheme="minorHAnsi" w:hAnsiTheme="minorHAnsi" w:cstheme="minorHAnsi"/>
                <w:sz w:val="20"/>
                <w:szCs w:val="20"/>
              </w:rPr>
            </w:pPr>
            <w:r w:rsidRPr="004E0927">
              <w:rPr>
                <w:rFonts w:asciiTheme="minorHAnsi" w:hAnsiTheme="minorHAnsi" w:cstheme="minorHAnsi"/>
                <w:sz w:val="20"/>
                <w:szCs w:val="20"/>
              </w:rPr>
              <w:t>Załącznik 1 Diagnoza FENG</w:t>
            </w:r>
          </w:p>
          <w:p w14:paraId="24B97195" w14:textId="77777777" w:rsidR="004E0927" w:rsidRPr="004E0927" w:rsidRDefault="004E0927" w:rsidP="00793878">
            <w:pPr>
              <w:jc w:val="both"/>
              <w:rPr>
                <w:rFonts w:asciiTheme="minorHAnsi" w:hAnsiTheme="minorHAnsi" w:cstheme="minorHAnsi"/>
                <w:sz w:val="20"/>
                <w:szCs w:val="20"/>
              </w:rPr>
            </w:pPr>
            <w:r w:rsidRPr="004E0927">
              <w:rPr>
                <w:rFonts w:asciiTheme="minorHAnsi" w:hAnsiTheme="minorHAnsi" w:cstheme="minorHAnsi"/>
                <w:sz w:val="20"/>
                <w:szCs w:val="20"/>
              </w:rPr>
              <w:t>Str. 4</w:t>
            </w:r>
          </w:p>
        </w:tc>
        <w:tc>
          <w:tcPr>
            <w:tcW w:w="4577" w:type="dxa"/>
            <w:shd w:val="clear" w:color="auto" w:fill="auto"/>
          </w:tcPr>
          <w:p w14:paraId="79472E87" w14:textId="77777777" w:rsidR="004E0927" w:rsidRPr="004E0927" w:rsidRDefault="004E0927" w:rsidP="00793878">
            <w:pPr>
              <w:jc w:val="both"/>
              <w:rPr>
                <w:rFonts w:asciiTheme="minorHAnsi" w:hAnsiTheme="minorHAnsi" w:cstheme="minorHAnsi"/>
                <w:sz w:val="20"/>
                <w:szCs w:val="20"/>
              </w:rPr>
            </w:pPr>
            <w:r w:rsidRPr="004E0927">
              <w:rPr>
                <w:rFonts w:asciiTheme="minorHAnsi" w:hAnsiTheme="minorHAnsi" w:cstheme="minorHAnsi"/>
                <w:sz w:val="20"/>
                <w:szCs w:val="20"/>
              </w:rPr>
              <w:t>Jw. – uwaga nr 16</w:t>
            </w:r>
          </w:p>
        </w:tc>
        <w:tc>
          <w:tcPr>
            <w:tcW w:w="4961" w:type="dxa"/>
            <w:shd w:val="clear" w:color="auto" w:fill="auto"/>
          </w:tcPr>
          <w:p w14:paraId="3AD0E33C" w14:textId="77777777" w:rsidR="004E0927" w:rsidRPr="004E0927" w:rsidRDefault="004E0927" w:rsidP="00793878">
            <w:pPr>
              <w:jc w:val="both"/>
              <w:rPr>
                <w:rFonts w:asciiTheme="minorHAnsi" w:hAnsiTheme="minorHAnsi" w:cstheme="minorHAnsi"/>
                <w:sz w:val="20"/>
                <w:szCs w:val="20"/>
              </w:rPr>
            </w:pPr>
            <w:r w:rsidRPr="004E0927">
              <w:rPr>
                <w:rFonts w:asciiTheme="minorHAnsi" w:hAnsiTheme="minorHAnsi" w:cstheme="minorHAnsi"/>
                <w:sz w:val="20"/>
                <w:szCs w:val="20"/>
              </w:rPr>
              <w:t xml:space="preserve">Duży problem stanowi rozdźwięk między </w:t>
            </w:r>
            <w:r w:rsidRPr="004E0927">
              <w:rPr>
                <w:rFonts w:asciiTheme="minorHAnsi" w:hAnsiTheme="minorHAnsi" w:cstheme="minorHAnsi"/>
                <w:color w:val="FF0000"/>
                <w:sz w:val="20"/>
                <w:szCs w:val="20"/>
              </w:rPr>
              <w:t>kompetencjami</w:t>
            </w:r>
            <w:r w:rsidRPr="004E0927">
              <w:rPr>
                <w:rFonts w:asciiTheme="minorHAnsi" w:hAnsiTheme="minorHAnsi" w:cstheme="minorHAnsi"/>
                <w:sz w:val="20"/>
                <w:szCs w:val="20"/>
              </w:rPr>
              <w:t xml:space="preserve"> i kwalifikacjami pracowników, </w:t>
            </w:r>
            <w:r w:rsidRPr="004E0927">
              <w:rPr>
                <w:rFonts w:asciiTheme="minorHAnsi" w:hAnsiTheme="minorHAnsi" w:cstheme="minorHAnsi"/>
                <w:color w:val="FF0000"/>
                <w:sz w:val="20"/>
                <w:szCs w:val="20"/>
              </w:rPr>
              <w:t>w szczególności nabytymi w edukacji formalnej (w szkołach i na uczelniach)</w:t>
            </w:r>
            <w:r w:rsidRPr="004E0927">
              <w:rPr>
                <w:rFonts w:asciiTheme="minorHAnsi" w:hAnsiTheme="minorHAnsi" w:cstheme="minorHAnsi"/>
                <w:sz w:val="20"/>
                <w:szCs w:val="20"/>
              </w:rPr>
              <w:t xml:space="preserve">, a oczekiwaniami pracodawców. Zgodnie z wynikami badania prowadzonego przez </w:t>
            </w:r>
            <w:proofErr w:type="spellStart"/>
            <w:r w:rsidRPr="004E0927">
              <w:rPr>
                <w:rFonts w:asciiTheme="minorHAnsi" w:hAnsiTheme="minorHAnsi" w:cstheme="minorHAnsi"/>
                <w:sz w:val="20"/>
                <w:szCs w:val="20"/>
              </w:rPr>
              <w:t>Randstad</w:t>
            </w:r>
            <w:proofErr w:type="spellEnd"/>
            <w:r w:rsidRPr="004E0927">
              <w:rPr>
                <w:rFonts w:asciiTheme="minorHAnsi" w:hAnsiTheme="minorHAnsi" w:cstheme="minorHAnsi"/>
                <w:sz w:val="20"/>
                <w:szCs w:val="20"/>
              </w:rPr>
              <w:t xml:space="preserve"> w 2019 r. ponad 1/4 pracodawców zatrudniła mniejszą niż założona liczbę pracowników spełniających ich oczekiwania, a 15% musiało obniżyć wymagania . Prognozy wskazują, że problemy z pozyskaniem pracowników będą narastać, co jest wynikiem głównie niekorzystnej sytuacji </w:t>
            </w:r>
            <w:r w:rsidRPr="004E0927">
              <w:rPr>
                <w:rFonts w:asciiTheme="minorHAnsi" w:hAnsiTheme="minorHAnsi" w:cstheme="minorHAnsi"/>
                <w:sz w:val="20"/>
                <w:szCs w:val="20"/>
              </w:rPr>
              <w:lastRenderedPageBreak/>
              <w:t xml:space="preserve">demograficznej  oraz zmian technologicznych. Przykładowo obecna luka kompetencyjna w sektorze ICT w Polsce określona jest na poziomie 50.000 wakatów w ramach różnych specjalizacji i poziomów zaawansowania. Kluczowe zatem jest  wsparcie  pracowników  w rozwijaniu umiejętności </w:t>
            </w:r>
            <w:r w:rsidRPr="004E0927">
              <w:rPr>
                <w:rFonts w:asciiTheme="minorHAnsi" w:hAnsiTheme="minorHAnsi" w:cstheme="minorHAnsi"/>
                <w:color w:val="FF0000"/>
                <w:sz w:val="20"/>
                <w:szCs w:val="20"/>
              </w:rPr>
              <w:t xml:space="preserve">oraz nabywaniu nowych kwalifikacji, w tym kwalifikacji włączonych do ZSK </w:t>
            </w:r>
            <w:r w:rsidRPr="004E0927">
              <w:rPr>
                <w:rFonts w:asciiTheme="minorHAnsi" w:hAnsiTheme="minorHAnsi" w:cstheme="minorHAnsi"/>
                <w:sz w:val="20"/>
                <w:szCs w:val="20"/>
              </w:rPr>
              <w:t>– co  zostało podkreślone w części szczegółowej „Zintegrowanej Strategii Umiejętności 2030” (Obszar oddziaływania V. Rozwijanie i wykorzystanie umiejętności w miejscu pracy), a także dbanie o dostosowanie kompetencji przyszłych pracowników do rzeczywistych potrzeb firm z sektora ICT już na etapie kształcenia w szkołach średnich.</w:t>
            </w:r>
          </w:p>
        </w:tc>
        <w:tc>
          <w:tcPr>
            <w:tcW w:w="1701" w:type="dxa"/>
          </w:tcPr>
          <w:p w14:paraId="7AAA47BD" w14:textId="77777777" w:rsidR="004E0927" w:rsidRPr="004E0927" w:rsidRDefault="005D5BB5" w:rsidP="00793878">
            <w:pPr>
              <w:jc w:val="both"/>
              <w:rPr>
                <w:rFonts w:asciiTheme="minorHAnsi" w:hAnsiTheme="minorHAnsi" w:cstheme="minorHAnsi"/>
                <w:sz w:val="20"/>
                <w:szCs w:val="20"/>
              </w:rPr>
            </w:pPr>
            <w:r>
              <w:rPr>
                <w:rFonts w:asciiTheme="minorHAnsi" w:hAnsiTheme="minorHAnsi" w:cstheme="minorHAnsi"/>
                <w:sz w:val="20"/>
                <w:szCs w:val="20"/>
              </w:rPr>
              <w:lastRenderedPageBreak/>
              <w:t>uwzględniona</w:t>
            </w:r>
          </w:p>
        </w:tc>
        <w:tc>
          <w:tcPr>
            <w:tcW w:w="1900" w:type="dxa"/>
          </w:tcPr>
          <w:p w14:paraId="718F20C8" w14:textId="4C2BBB42" w:rsidR="004E0927" w:rsidRPr="004E0927" w:rsidRDefault="00D42B94" w:rsidP="00D42B94">
            <w:pPr>
              <w:jc w:val="both"/>
              <w:rPr>
                <w:rFonts w:asciiTheme="minorHAnsi" w:hAnsiTheme="minorHAnsi" w:cstheme="minorHAnsi"/>
                <w:sz w:val="20"/>
                <w:szCs w:val="20"/>
              </w:rPr>
            </w:pPr>
            <w:r>
              <w:rPr>
                <w:rFonts w:asciiTheme="minorHAnsi" w:hAnsiTheme="minorHAnsi" w:cstheme="minorHAnsi"/>
                <w:sz w:val="20"/>
                <w:szCs w:val="20"/>
              </w:rPr>
              <w:t xml:space="preserve">W tekście diagnozy (zał. 1) </w:t>
            </w:r>
            <w:r w:rsidR="005D5BB5" w:rsidRPr="005D5BB5">
              <w:rPr>
                <w:rFonts w:asciiTheme="minorHAnsi" w:hAnsiTheme="minorHAnsi" w:cstheme="minorHAnsi"/>
                <w:sz w:val="20"/>
                <w:szCs w:val="20"/>
              </w:rPr>
              <w:t xml:space="preserve"> </w:t>
            </w:r>
            <w:r>
              <w:rPr>
                <w:rFonts w:asciiTheme="minorHAnsi" w:hAnsiTheme="minorHAnsi" w:cstheme="minorHAnsi"/>
                <w:sz w:val="20"/>
                <w:szCs w:val="20"/>
              </w:rPr>
              <w:t>uwzględniony</w:t>
            </w:r>
            <w:r w:rsidR="005D5BB5">
              <w:rPr>
                <w:rFonts w:asciiTheme="minorHAnsi" w:hAnsiTheme="minorHAnsi" w:cstheme="minorHAnsi"/>
                <w:sz w:val="20"/>
                <w:szCs w:val="20"/>
              </w:rPr>
              <w:t xml:space="preserve"> </w:t>
            </w:r>
            <w:r>
              <w:rPr>
                <w:rFonts w:asciiTheme="minorHAnsi" w:hAnsiTheme="minorHAnsi" w:cstheme="minorHAnsi"/>
                <w:sz w:val="20"/>
                <w:szCs w:val="20"/>
              </w:rPr>
              <w:t>został</w:t>
            </w:r>
            <w:r w:rsidR="005D5BB5">
              <w:rPr>
                <w:rFonts w:asciiTheme="minorHAnsi" w:hAnsiTheme="minorHAnsi" w:cstheme="minorHAnsi"/>
                <w:sz w:val="20"/>
                <w:szCs w:val="20"/>
              </w:rPr>
              <w:t xml:space="preserve">  zapis podkreślający rozdźwięk między kwalifikacjami i kompetencjami pracowników zdobytymi w edukacji formalnej a </w:t>
            </w:r>
            <w:r w:rsidR="005D5BB5">
              <w:rPr>
                <w:rFonts w:asciiTheme="minorHAnsi" w:hAnsiTheme="minorHAnsi" w:cstheme="minorHAnsi"/>
                <w:sz w:val="20"/>
                <w:szCs w:val="20"/>
              </w:rPr>
              <w:lastRenderedPageBreak/>
              <w:t>oczekiwaniami pracodawców oraz dot. nabywania nowych kwalifikacji, w tym kwalifikacji włączonych do ZSK.</w:t>
            </w:r>
          </w:p>
        </w:tc>
      </w:tr>
      <w:tr w:rsidR="00AD0C0D" w:rsidRPr="004E0927" w14:paraId="3EA259BD" w14:textId="77777777" w:rsidTr="003A0B1E">
        <w:tc>
          <w:tcPr>
            <w:tcW w:w="533" w:type="dxa"/>
            <w:shd w:val="clear" w:color="auto" w:fill="auto"/>
            <w:vAlign w:val="center"/>
          </w:tcPr>
          <w:p w14:paraId="0DE209F3" w14:textId="77777777" w:rsidR="004E0927" w:rsidRPr="004E0927" w:rsidRDefault="004E0927" w:rsidP="00DD331D">
            <w:pPr>
              <w:pStyle w:val="Akapitzlist"/>
              <w:numPr>
                <w:ilvl w:val="0"/>
                <w:numId w:val="3"/>
              </w:numPr>
              <w:spacing w:before="120" w:after="120"/>
              <w:jc w:val="center"/>
              <w:rPr>
                <w:rFonts w:asciiTheme="minorHAnsi" w:hAnsiTheme="minorHAnsi" w:cstheme="minorHAnsi"/>
                <w:b/>
                <w:sz w:val="20"/>
                <w:szCs w:val="20"/>
              </w:rPr>
            </w:pPr>
          </w:p>
        </w:tc>
        <w:tc>
          <w:tcPr>
            <w:tcW w:w="771" w:type="dxa"/>
            <w:shd w:val="clear" w:color="auto" w:fill="auto"/>
            <w:vAlign w:val="center"/>
          </w:tcPr>
          <w:p w14:paraId="33A4647A" w14:textId="77777777" w:rsidR="004E0927" w:rsidRPr="004E0927" w:rsidRDefault="004E0927" w:rsidP="001F4962">
            <w:pPr>
              <w:spacing w:before="60" w:after="60"/>
              <w:jc w:val="center"/>
              <w:rPr>
                <w:rFonts w:asciiTheme="minorHAnsi" w:hAnsiTheme="minorHAnsi" w:cstheme="minorHAnsi"/>
                <w:b/>
                <w:sz w:val="20"/>
                <w:szCs w:val="20"/>
              </w:rPr>
            </w:pPr>
            <w:r w:rsidRPr="004E0927">
              <w:rPr>
                <w:rFonts w:asciiTheme="minorHAnsi" w:hAnsiTheme="minorHAnsi" w:cstheme="minorHAnsi"/>
                <w:b/>
                <w:sz w:val="20"/>
                <w:szCs w:val="20"/>
              </w:rPr>
              <w:t>MEiN</w:t>
            </w:r>
          </w:p>
        </w:tc>
        <w:tc>
          <w:tcPr>
            <w:tcW w:w="1318" w:type="dxa"/>
            <w:shd w:val="clear" w:color="auto" w:fill="auto"/>
          </w:tcPr>
          <w:p w14:paraId="44AF74D0" w14:textId="77777777" w:rsidR="004E0927" w:rsidRPr="004E0927" w:rsidRDefault="004E0927" w:rsidP="00793878">
            <w:pPr>
              <w:rPr>
                <w:rFonts w:asciiTheme="minorHAnsi" w:hAnsiTheme="minorHAnsi" w:cstheme="minorHAnsi"/>
                <w:sz w:val="20"/>
                <w:szCs w:val="20"/>
              </w:rPr>
            </w:pPr>
            <w:r w:rsidRPr="004E0927">
              <w:rPr>
                <w:rFonts w:asciiTheme="minorHAnsi" w:hAnsiTheme="minorHAnsi" w:cstheme="minorHAnsi"/>
                <w:sz w:val="20"/>
                <w:szCs w:val="20"/>
              </w:rPr>
              <w:t>Załącznik 1 Diagnoza FENG</w:t>
            </w:r>
          </w:p>
          <w:p w14:paraId="1A2116E6" w14:textId="77777777" w:rsidR="004E0927" w:rsidRPr="004E0927" w:rsidRDefault="004E0927" w:rsidP="00793878">
            <w:pPr>
              <w:rPr>
                <w:rFonts w:asciiTheme="minorHAnsi" w:hAnsiTheme="minorHAnsi" w:cstheme="minorHAnsi"/>
                <w:sz w:val="20"/>
                <w:szCs w:val="20"/>
              </w:rPr>
            </w:pPr>
          </w:p>
          <w:p w14:paraId="0278260A" w14:textId="77777777" w:rsidR="004E0927" w:rsidRPr="004E0927" w:rsidRDefault="004E0927" w:rsidP="00793878">
            <w:pPr>
              <w:rPr>
                <w:rFonts w:asciiTheme="minorHAnsi" w:hAnsiTheme="minorHAnsi" w:cstheme="minorHAnsi"/>
                <w:sz w:val="20"/>
                <w:szCs w:val="20"/>
              </w:rPr>
            </w:pPr>
            <w:r w:rsidRPr="004E0927">
              <w:rPr>
                <w:rFonts w:asciiTheme="minorHAnsi" w:hAnsiTheme="minorHAnsi" w:cstheme="minorHAnsi"/>
                <w:sz w:val="20"/>
                <w:szCs w:val="20"/>
              </w:rPr>
              <w:t>Str. 8</w:t>
            </w:r>
          </w:p>
        </w:tc>
        <w:tc>
          <w:tcPr>
            <w:tcW w:w="4577" w:type="dxa"/>
            <w:shd w:val="clear" w:color="auto" w:fill="auto"/>
          </w:tcPr>
          <w:p w14:paraId="5657EEC0" w14:textId="77777777" w:rsidR="004E0927" w:rsidRPr="004E0927" w:rsidRDefault="004E0927" w:rsidP="00793878">
            <w:pPr>
              <w:jc w:val="both"/>
              <w:rPr>
                <w:rFonts w:asciiTheme="minorHAnsi" w:hAnsiTheme="minorHAnsi" w:cstheme="minorHAnsi"/>
                <w:sz w:val="20"/>
                <w:szCs w:val="20"/>
              </w:rPr>
            </w:pPr>
            <w:r w:rsidRPr="004E0927">
              <w:rPr>
                <w:rFonts w:asciiTheme="minorHAnsi" w:hAnsiTheme="minorHAnsi" w:cstheme="minorHAnsi"/>
                <w:sz w:val="20"/>
                <w:szCs w:val="20"/>
              </w:rPr>
              <w:t xml:space="preserve">Jw. </w:t>
            </w:r>
          </w:p>
        </w:tc>
        <w:tc>
          <w:tcPr>
            <w:tcW w:w="4961" w:type="dxa"/>
            <w:shd w:val="clear" w:color="auto" w:fill="auto"/>
          </w:tcPr>
          <w:p w14:paraId="066F2089" w14:textId="77777777" w:rsidR="004E0927" w:rsidRPr="004E0927" w:rsidRDefault="004E0927" w:rsidP="00793878">
            <w:pPr>
              <w:jc w:val="both"/>
              <w:rPr>
                <w:rFonts w:asciiTheme="minorHAnsi" w:hAnsiTheme="minorHAnsi" w:cstheme="minorHAnsi"/>
                <w:sz w:val="20"/>
                <w:szCs w:val="20"/>
              </w:rPr>
            </w:pPr>
            <w:r w:rsidRPr="004E0927">
              <w:rPr>
                <w:rFonts w:asciiTheme="minorHAnsi" w:hAnsiTheme="minorHAnsi" w:cstheme="minorHAnsi"/>
                <w:sz w:val="20"/>
                <w:szCs w:val="20"/>
              </w:rPr>
              <w:t xml:space="preserve">Z badania „Potrzeby klastrów w Polsce” zleconego w 2019 r. na potrzeby prac Grupy roboczej ds. polityki klastrowej, którego wyniki zostały odzwierciedlone w dokumencie strategicznym Kierunki rozwoju polityki klastrowej po 2020 r.   wynika, że największą barierę w rozwoju klastrów stanowi brak finansowania zewnętrznego. Finansowanie to klastry zamierzają przeznaczyć na infrastrukturę badawczą i demonstracyjną, zasoby komunikacyjne oraz rozwój zasobów kadrowych i podnoszenie </w:t>
            </w:r>
            <w:r w:rsidRPr="004E0927">
              <w:rPr>
                <w:rFonts w:asciiTheme="minorHAnsi" w:hAnsiTheme="minorHAnsi" w:cstheme="minorHAnsi"/>
                <w:color w:val="FF0000"/>
                <w:sz w:val="20"/>
                <w:szCs w:val="20"/>
              </w:rPr>
              <w:t xml:space="preserve">ich kompetencji oraz nabywanie nowych </w:t>
            </w:r>
            <w:r w:rsidRPr="004E0927">
              <w:rPr>
                <w:rFonts w:asciiTheme="minorHAnsi" w:hAnsiTheme="minorHAnsi" w:cstheme="minorHAnsi"/>
                <w:sz w:val="20"/>
                <w:szCs w:val="20"/>
              </w:rPr>
              <w:t xml:space="preserve">kwalifikacji, </w:t>
            </w:r>
            <w:r w:rsidRPr="004E0927">
              <w:rPr>
                <w:rFonts w:asciiTheme="minorHAnsi" w:hAnsiTheme="minorHAnsi" w:cstheme="minorHAnsi"/>
                <w:color w:val="FF0000"/>
                <w:sz w:val="20"/>
                <w:szCs w:val="20"/>
              </w:rPr>
              <w:t>w tym kwalifikacji włączonych do ZSK.</w:t>
            </w:r>
          </w:p>
        </w:tc>
        <w:tc>
          <w:tcPr>
            <w:tcW w:w="1701" w:type="dxa"/>
          </w:tcPr>
          <w:p w14:paraId="703FD7A5" w14:textId="77777777" w:rsidR="004E0927" w:rsidRPr="004E0927" w:rsidRDefault="005D5BB5" w:rsidP="00793878">
            <w:pPr>
              <w:jc w:val="both"/>
              <w:rPr>
                <w:rFonts w:asciiTheme="minorHAnsi" w:hAnsiTheme="minorHAnsi" w:cstheme="minorHAnsi"/>
                <w:sz w:val="20"/>
                <w:szCs w:val="20"/>
              </w:rPr>
            </w:pPr>
            <w:r>
              <w:rPr>
                <w:rFonts w:asciiTheme="minorHAnsi" w:hAnsiTheme="minorHAnsi" w:cstheme="minorHAnsi"/>
                <w:sz w:val="20"/>
                <w:szCs w:val="20"/>
              </w:rPr>
              <w:t>uwzględniona</w:t>
            </w:r>
          </w:p>
        </w:tc>
        <w:tc>
          <w:tcPr>
            <w:tcW w:w="1900" w:type="dxa"/>
          </w:tcPr>
          <w:p w14:paraId="5C40D7C4" w14:textId="1F81296B" w:rsidR="004E0927" w:rsidRPr="004E0927" w:rsidRDefault="00D42B94" w:rsidP="00D42B94">
            <w:pPr>
              <w:jc w:val="both"/>
              <w:rPr>
                <w:rFonts w:asciiTheme="minorHAnsi" w:hAnsiTheme="minorHAnsi" w:cstheme="minorHAnsi"/>
                <w:sz w:val="20"/>
                <w:szCs w:val="20"/>
              </w:rPr>
            </w:pPr>
            <w:r>
              <w:rPr>
                <w:rFonts w:asciiTheme="minorHAnsi" w:hAnsiTheme="minorHAnsi" w:cstheme="minorHAnsi"/>
                <w:sz w:val="20"/>
                <w:szCs w:val="20"/>
              </w:rPr>
              <w:t>Tekst diagnozy (zał. 1) został</w:t>
            </w:r>
            <w:r w:rsidR="005D5BB5">
              <w:rPr>
                <w:rFonts w:asciiTheme="minorHAnsi" w:hAnsiTheme="minorHAnsi" w:cstheme="minorHAnsi"/>
                <w:sz w:val="20"/>
                <w:szCs w:val="20"/>
              </w:rPr>
              <w:t xml:space="preserve"> uzupełniony o</w:t>
            </w:r>
            <w:r w:rsidR="007A57C5">
              <w:rPr>
                <w:rFonts w:asciiTheme="minorHAnsi" w:hAnsiTheme="minorHAnsi" w:cstheme="minorHAnsi"/>
                <w:sz w:val="20"/>
                <w:szCs w:val="20"/>
              </w:rPr>
              <w:t xml:space="preserve"> proponowany zapis. </w:t>
            </w:r>
          </w:p>
        </w:tc>
      </w:tr>
      <w:tr w:rsidR="00AD0C0D" w:rsidRPr="004E0927" w14:paraId="54D44DBD" w14:textId="77777777" w:rsidTr="003A0B1E">
        <w:tc>
          <w:tcPr>
            <w:tcW w:w="533" w:type="dxa"/>
            <w:shd w:val="clear" w:color="auto" w:fill="auto"/>
            <w:vAlign w:val="center"/>
          </w:tcPr>
          <w:p w14:paraId="755971D6" w14:textId="77777777" w:rsidR="004E0927" w:rsidRPr="004E0927" w:rsidRDefault="004E0927" w:rsidP="00DD331D">
            <w:pPr>
              <w:pStyle w:val="Akapitzlist"/>
              <w:numPr>
                <w:ilvl w:val="0"/>
                <w:numId w:val="3"/>
              </w:numPr>
              <w:spacing w:before="120" w:after="120"/>
              <w:jc w:val="center"/>
              <w:rPr>
                <w:rFonts w:asciiTheme="minorHAnsi" w:hAnsiTheme="minorHAnsi" w:cstheme="minorHAnsi"/>
                <w:b/>
                <w:sz w:val="20"/>
                <w:szCs w:val="20"/>
              </w:rPr>
            </w:pPr>
          </w:p>
        </w:tc>
        <w:tc>
          <w:tcPr>
            <w:tcW w:w="771" w:type="dxa"/>
            <w:shd w:val="clear" w:color="auto" w:fill="auto"/>
            <w:vAlign w:val="center"/>
          </w:tcPr>
          <w:p w14:paraId="03711834" w14:textId="77777777" w:rsidR="004E0927" w:rsidRPr="004E0927" w:rsidRDefault="004E0927" w:rsidP="001F4962">
            <w:pPr>
              <w:spacing w:before="60" w:after="60"/>
              <w:jc w:val="center"/>
              <w:rPr>
                <w:rFonts w:asciiTheme="minorHAnsi" w:hAnsiTheme="minorHAnsi" w:cstheme="minorHAnsi"/>
                <w:b/>
                <w:sz w:val="20"/>
                <w:szCs w:val="20"/>
              </w:rPr>
            </w:pPr>
            <w:r w:rsidRPr="004E0927">
              <w:rPr>
                <w:rFonts w:asciiTheme="minorHAnsi" w:hAnsiTheme="minorHAnsi" w:cstheme="minorHAnsi"/>
                <w:b/>
                <w:sz w:val="20"/>
                <w:szCs w:val="20"/>
              </w:rPr>
              <w:t>MEiN</w:t>
            </w:r>
          </w:p>
        </w:tc>
        <w:tc>
          <w:tcPr>
            <w:tcW w:w="1318" w:type="dxa"/>
            <w:shd w:val="clear" w:color="auto" w:fill="auto"/>
          </w:tcPr>
          <w:p w14:paraId="24BA474D" w14:textId="77777777" w:rsidR="004E0927" w:rsidRPr="004E0927" w:rsidRDefault="004E0927" w:rsidP="00793878">
            <w:pPr>
              <w:rPr>
                <w:rFonts w:asciiTheme="minorHAnsi" w:hAnsiTheme="minorHAnsi" w:cstheme="minorHAnsi"/>
                <w:sz w:val="20"/>
                <w:szCs w:val="20"/>
              </w:rPr>
            </w:pPr>
            <w:r w:rsidRPr="004E0927">
              <w:rPr>
                <w:rFonts w:asciiTheme="minorHAnsi" w:hAnsiTheme="minorHAnsi" w:cstheme="minorHAnsi"/>
                <w:sz w:val="20"/>
                <w:szCs w:val="20"/>
              </w:rPr>
              <w:t xml:space="preserve">Załącznik 2 </w:t>
            </w:r>
          </w:p>
          <w:p w14:paraId="194E2898" w14:textId="77777777" w:rsidR="004E0927" w:rsidRPr="004E0927" w:rsidRDefault="004E0927" w:rsidP="00793878">
            <w:pPr>
              <w:rPr>
                <w:rFonts w:asciiTheme="minorHAnsi" w:hAnsiTheme="minorHAnsi" w:cstheme="minorHAnsi"/>
                <w:sz w:val="20"/>
                <w:szCs w:val="20"/>
              </w:rPr>
            </w:pPr>
            <w:r w:rsidRPr="004E0927">
              <w:rPr>
                <w:rFonts w:asciiTheme="minorHAnsi" w:hAnsiTheme="minorHAnsi" w:cstheme="minorHAnsi"/>
                <w:sz w:val="20"/>
                <w:szCs w:val="20"/>
              </w:rPr>
              <w:t>Komplementarność FENG z FERS</w:t>
            </w:r>
          </w:p>
          <w:p w14:paraId="66781DF7" w14:textId="77777777" w:rsidR="004E0927" w:rsidRPr="004E0927" w:rsidRDefault="004E0927" w:rsidP="00793878">
            <w:pPr>
              <w:rPr>
                <w:rFonts w:asciiTheme="minorHAnsi" w:hAnsiTheme="minorHAnsi" w:cstheme="minorHAnsi"/>
                <w:sz w:val="20"/>
                <w:szCs w:val="20"/>
              </w:rPr>
            </w:pPr>
            <w:r w:rsidRPr="004E0927">
              <w:rPr>
                <w:rFonts w:asciiTheme="minorHAnsi" w:hAnsiTheme="minorHAnsi" w:cstheme="minorHAnsi"/>
                <w:sz w:val="20"/>
                <w:szCs w:val="20"/>
              </w:rPr>
              <w:t>Str. 4</w:t>
            </w:r>
          </w:p>
        </w:tc>
        <w:tc>
          <w:tcPr>
            <w:tcW w:w="4577" w:type="dxa"/>
            <w:shd w:val="clear" w:color="auto" w:fill="auto"/>
          </w:tcPr>
          <w:p w14:paraId="29228943" w14:textId="77777777" w:rsidR="004E0927" w:rsidRPr="004E0927" w:rsidRDefault="004E0927" w:rsidP="00793878">
            <w:pPr>
              <w:jc w:val="both"/>
              <w:rPr>
                <w:rFonts w:asciiTheme="minorHAnsi" w:hAnsiTheme="minorHAnsi" w:cstheme="minorHAnsi"/>
                <w:sz w:val="20"/>
                <w:szCs w:val="20"/>
              </w:rPr>
            </w:pPr>
            <w:r w:rsidRPr="004E0927">
              <w:rPr>
                <w:rFonts w:asciiTheme="minorHAnsi" w:hAnsiTheme="minorHAnsi" w:cstheme="minorHAnsi"/>
                <w:sz w:val="20"/>
                <w:szCs w:val="20"/>
              </w:rPr>
              <w:t xml:space="preserve">Jw. </w:t>
            </w:r>
          </w:p>
        </w:tc>
        <w:tc>
          <w:tcPr>
            <w:tcW w:w="4961" w:type="dxa"/>
            <w:shd w:val="clear" w:color="auto" w:fill="auto"/>
          </w:tcPr>
          <w:p w14:paraId="4B85682B" w14:textId="77777777" w:rsidR="004E0927" w:rsidRDefault="004E0927" w:rsidP="00793878">
            <w:pPr>
              <w:jc w:val="both"/>
              <w:rPr>
                <w:rFonts w:asciiTheme="minorHAnsi" w:hAnsiTheme="minorHAnsi" w:cstheme="minorHAnsi"/>
                <w:sz w:val="20"/>
                <w:szCs w:val="20"/>
              </w:rPr>
            </w:pPr>
            <w:r w:rsidRPr="004E0927">
              <w:rPr>
                <w:rFonts w:asciiTheme="minorHAnsi" w:hAnsiTheme="minorHAnsi" w:cstheme="minorHAnsi"/>
                <w:sz w:val="20"/>
                <w:szCs w:val="20"/>
              </w:rPr>
              <w:t xml:space="preserve">Działania w zakresie rozwoju i zdobywania nowych umiejętności i kompetencji, </w:t>
            </w:r>
            <w:r w:rsidRPr="004E0927">
              <w:rPr>
                <w:rFonts w:asciiTheme="minorHAnsi" w:hAnsiTheme="minorHAnsi" w:cstheme="minorHAnsi"/>
                <w:color w:val="FF0000"/>
                <w:sz w:val="20"/>
                <w:szCs w:val="20"/>
              </w:rPr>
              <w:t>a także nowych kwalifikacji, w tym włączonych do Zintegrowanego Systemu Kwalifikacji (ZSK</w:t>
            </w:r>
            <w:r w:rsidRPr="004E0927">
              <w:rPr>
                <w:rFonts w:asciiTheme="minorHAnsi" w:hAnsiTheme="minorHAnsi" w:cstheme="minorHAnsi"/>
                <w:sz w:val="20"/>
                <w:szCs w:val="20"/>
              </w:rPr>
              <w:t>),  realizowane w ramach FENG, koncentrują się na wsparciu  przedsiębiorców oraz przedstawicieli sektora nauki w obszarach związanych z innowacyjnością tj. inteligentnych specjalizacji, cyfrowej i niskoemisyjnej transformacji przemysłu i przedsiębiorczości, innowacyjnych modelach biznesowych, transferze technologii i zarządzania innowacjami.</w:t>
            </w:r>
          </w:p>
          <w:p w14:paraId="57FA1E2C" w14:textId="77777777" w:rsidR="00D42B94" w:rsidRDefault="00D42B94" w:rsidP="00793878">
            <w:pPr>
              <w:jc w:val="both"/>
              <w:rPr>
                <w:rFonts w:asciiTheme="minorHAnsi" w:hAnsiTheme="minorHAnsi" w:cstheme="minorHAnsi"/>
                <w:sz w:val="20"/>
                <w:szCs w:val="20"/>
              </w:rPr>
            </w:pPr>
          </w:p>
          <w:p w14:paraId="2CF8A4D6" w14:textId="77777777" w:rsidR="00D42B94" w:rsidRPr="004E0927" w:rsidRDefault="00D42B94" w:rsidP="00793878">
            <w:pPr>
              <w:jc w:val="both"/>
              <w:rPr>
                <w:rFonts w:asciiTheme="minorHAnsi" w:hAnsiTheme="minorHAnsi" w:cstheme="minorHAnsi"/>
                <w:sz w:val="20"/>
                <w:szCs w:val="20"/>
              </w:rPr>
            </w:pPr>
          </w:p>
        </w:tc>
        <w:tc>
          <w:tcPr>
            <w:tcW w:w="1701" w:type="dxa"/>
          </w:tcPr>
          <w:p w14:paraId="59D862E2" w14:textId="77777777" w:rsidR="004E0927" w:rsidRPr="004E0927" w:rsidRDefault="007A57C5" w:rsidP="00793878">
            <w:pPr>
              <w:jc w:val="both"/>
              <w:rPr>
                <w:rFonts w:asciiTheme="minorHAnsi" w:hAnsiTheme="minorHAnsi" w:cstheme="minorHAnsi"/>
                <w:sz w:val="20"/>
                <w:szCs w:val="20"/>
              </w:rPr>
            </w:pPr>
            <w:r>
              <w:rPr>
                <w:rFonts w:asciiTheme="minorHAnsi" w:hAnsiTheme="minorHAnsi" w:cstheme="minorHAnsi"/>
                <w:sz w:val="20"/>
                <w:szCs w:val="20"/>
              </w:rPr>
              <w:t>uwzględniona</w:t>
            </w:r>
          </w:p>
        </w:tc>
        <w:tc>
          <w:tcPr>
            <w:tcW w:w="1900" w:type="dxa"/>
          </w:tcPr>
          <w:p w14:paraId="5D565A55" w14:textId="675BE5A2" w:rsidR="004E0927" w:rsidRPr="004E0927" w:rsidRDefault="007A57C5" w:rsidP="00D42B94">
            <w:pPr>
              <w:jc w:val="both"/>
              <w:rPr>
                <w:rFonts w:asciiTheme="minorHAnsi" w:hAnsiTheme="minorHAnsi" w:cstheme="minorHAnsi"/>
                <w:sz w:val="20"/>
                <w:szCs w:val="20"/>
              </w:rPr>
            </w:pPr>
            <w:r w:rsidRPr="007A57C5">
              <w:rPr>
                <w:rFonts w:asciiTheme="minorHAnsi" w:hAnsiTheme="minorHAnsi" w:cstheme="minorHAnsi"/>
                <w:sz w:val="20"/>
                <w:szCs w:val="20"/>
              </w:rPr>
              <w:t>Tekst</w:t>
            </w:r>
            <w:r w:rsidR="00D42B94">
              <w:rPr>
                <w:rFonts w:asciiTheme="minorHAnsi" w:hAnsiTheme="minorHAnsi" w:cstheme="minorHAnsi"/>
                <w:sz w:val="20"/>
                <w:szCs w:val="20"/>
              </w:rPr>
              <w:t xml:space="preserve"> zał. 2 Programu </w:t>
            </w:r>
            <w:r w:rsidRPr="007A57C5">
              <w:rPr>
                <w:rFonts w:asciiTheme="minorHAnsi" w:hAnsiTheme="minorHAnsi" w:cstheme="minorHAnsi"/>
                <w:sz w:val="20"/>
                <w:szCs w:val="20"/>
              </w:rPr>
              <w:t xml:space="preserve"> </w:t>
            </w:r>
            <w:r w:rsidR="00D42B94">
              <w:rPr>
                <w:rFonts w:asciiTheme="minorHAnsi" w:hAnsiTheme="minorHAnsi" w:cstheme="minorHAnsi"/>
                <w:sz w:val="20"/>
                <w:szCs w:val="20"/>
              </w:rPr>
              <w:t xml:space="preserve">w zakresie odnoszącym się do Komplementarności FENG z FERS został </w:t>
            </w:r>
            <w:r w:rsidRPr="007A57C5">
              <w:rPr>
                <w:rFonts w:asciiTheme="minorHAnsi" w:hAnsiTheme="minorHAnsi" w:cstheme="minorHAnsi"/>
                <w:sz w:val="20"/>
                <w:szCs w:val="20"/>
              </w:rPr>
              <w:t>uzupełniony o proponowany zapis.</w:t>
            </w:r>
          </w:p>
        </w:tc>
      </w:tr>
      <w:tr w:rsidR="00C35D49" w:rsidRPr="004E0927" w14:paraId="3B40EA73" w14:textId="77777777" w:rsidTr="003A0B1E">
        <w:tc>
          <w:tcPr>
            <w:tcW w:w="533" w:type="dxa"/>
            <w:shd w:val="clear" w:color="auto" w:fill="auto"/>
            <w:vAlign w:val="center"/>
          </w:tcPr>
          <w:p w14:paraId="6FB723D9" w14:textId="77777777" w:rsidR="00C35D49" w:rsidRPr="004E0927" w:rsidRDefault="00C35D49" w:rsidP="00C35D49">
            <w:pPr>
              <w:pStyle w:val="Akapitzlist"/>
              <w:numPr>
                <w:ilvl w:val="0"/>
                <w:numId w:val="3"/>
              </w:numPr>
              <w:spacing w:before="120" w:after="120"/>
              <w:jc w:val="center"/>
              <w:rPr>
                <w:rFonts w:asciiTheme="minorHAnsi" w:hAnsiTheme="minorHAnsi" w:cstheme="minorHAnsi"/>
                <w:b/>
                <w:sz w:val="20"/>
                <w:szCs w:val="20"/>
              </w:rPr>
            </w:pPr>
          </w:p>
        </w:tc>
        <w:tc>
          <w:tcPr>
            <w:tcW w:w="771" w:type="dxa"/>
            <w:shd w:val="clear" w:color="auto" w:fill="auto"/>
            <w:vAlign w:val="center"/>
          </w:tcPr>
          <w:p w14:paraId="5FE73404" w14:textId="77777777" w:rsidR="00C35D49" w:rsidRPr="004E0927" w:rsidRDefault="00C35D49" w:rsidP="001F4962">
            <w:pPr>
              <w:spacing w:before="60" w:after="60"/>
              <w:jc w:val="center"/>
              <w:rPr>
                <w:rFonts w:asciiTheme="minorHAnsi" w:hAnsiTheme="minorHAnsi" w:cstheme="minorHAnsi"/>
                <w:b/>
                <w:sz w:val="20"/>
                <w:szCs w:val="20"/>
              </w:rPr>
            </w:pPr>
            <w:proofErr w:type="spellStart"/>
            <w:r w:rsidRPr="004E0927">
              <w:rPr>
                <w:rFonts w:asciiTheme="minorHAnsi" w:hAnsiTheme="minorHAnsi" w:cstheme="minorHAnsi"/>
                <w:b/>
                <w:sz w:val="20"/>
                <w:szCs w:val="20"/>
              </w:rPr>
              <w:t>MEiN</w:t>
            </w:r>
            <w:proofErr w:type="spellEnd"/>
          </w:p>
        </w:tc>
        <w:tc>
          <w:tcPr>
            <w:tcW w:w="1318" w:type="dxa"/>
            <w:shd w:val="clear" w:color="auto" w:fill="auto"/>
          </w:tcPr>
          <w:p w14:paraId="43C364C8" w14:textId="77777777" w:rsidR="00C35D49" w:rsidRPr="004E0927" w:rsidRDefault="00C35D49" w:rsidP="00C35D49">
            <w:pPr>
              <w:rPr>
                <w:rFonts w:asciiTheme="minorHAnsi" w:hAnsiTheme="minorHAnsi" w:cstheme="minorHAnsi"/>
                <w:sz w:val="20"/>
                <w:szCs w:val="20"/>
              </w:rPr>
            </w:pPr>
            <w:r w:rsidRPr="004E0927">
              <w:rPr>
                <w:rFonts w:asciiTheme="minorHAnsi" w:hAnsiTheme="minorHAnsi" w:cstheme="minorHAnsi"/>
                <w:sz w:val="20"/>
                <w:szCs w:val="20"/>
              </w:rPr>
              <w:t xml:space="preserve">Załącznik 2 </w:t>
            </w:r>
          </w:p>
          <w:p w14:paraId="39FE12A4" w14:textId="77777777" w:rsidR="00C35D49" w:rsidRPr="004E0927" w:rsidRDefault="00C35D49" w:rsidP="00C35D49">
            <w:pPr>
              <w:rPr>
                <w:rFonts w:asciiTheme="minorHAnsi" w:hAnsiTheme="minorHAnsi" w:cstheme="minorHAnsi"/>
                <w:sz w:val="20"/>
                <w:szCs w:val="20"/>
              </w:rPr>
            </w:pPr>
            <w:r w:rsidRPr="004E0927">
              <w:rPr>
                <w:rFonts w:asciiTheme="minorHAnsi" w:hAnsiTheme="minorHAnsi" w:cstheme="minorHAnsi"/>
                <w:sz w:val="20"/>
                <w:szCs w:val="20"/>
              </w:rPr>
              <w:t xml:space="preserve">Komplementarność FENG </w:t>
            </w:r>
            <w:r w:rsidRPr="004E0927">
              <w:rPr>
                <w:rFonts w:asciiTheme="minorHAnsi" w:hAnsiTheme="minorHAnsi" w:cstheme="minorHAnsi"/>
                <w:sz w:val="20"/>
                <w:szCs w:val="20"/>
              </w:rPr>
              <w:lastRenderedPageBreak/>
              <w:t>z FERS</w:t>
            </w:r>
          </w:p>
          <w:p w14:paraId="631DEA14" w14:textId="77777777" w:rsidR="00C35D49" w:rsidRPr="004E0927" w:rsidRDefault="00C35D49" w:rsidP="00C35D49">
            <w:pPr>
              <w:rPr>
                <w:rFonts w:asciiTheme="minorHAnsi" w:hAnsiTheme="minorHAnsi" w:cstheme="minorHAnsi"/>
                <w:sz w:val="20"/>
                <w:szCs w:val="20"/>
              </w:rPr>
            </w:pPr>
            <w:r>
              <w:rPr>
                <w:rFonts w:asciiTheme="minorHAnsi" w:hAnsiTheme="minorHAnsi" w:cstheme="minorHAnsi"/>
                <w:sz w:val="20"/>
                <w:szCs w:val="20"/>
              </w:rPr>
              <w:t>s</w:t>
            </w:r>
            <w:r w:rsidRPr="004E0927">
              <w:rPr>
                <w:rFonts w:asciiTheme="minorHAnsi" w:hAnsiTheme="minorHAnsi" w:cstheme="minorHAnsi"/>
                <w:sz w:val="20"/>
                <w:szCs w:val="20"/>
              </w:rPr>
              <w:t>tr. 4</w:t>
            </w:r>
          </w:p>
          <w:p w14:paraId="0DA9EC91" w14:textId="77777777" w:rsidR="00C35D49" w:rsidRPr="004E0927" w:rsidRDefault="00C35D49" w:rsidP="00C35D49">
            <w:pPr>
              <w:rPr>
                <w:rFonts w:asciiTheme="minorHAnsi" w:hAnsiTheme="minorHAnsi" w:cstheme="minorHAnsi"/>
                <w:sz w:val="20"/>
                <w:szCs w:val="20"/>
              </w:rPr>
            </w:pPr>
          </w:p>
        </w:tc>
        <w:tc>
          <w:tcPr>
            <w:tcW w:w="4577" w:type="dxa"/>
            <w:shd w:val="clear" w:color="auto" w:fill="auto"/>
          </w:tcPr>
          <w:p w14:paraId="4AE52E59" w14:textId="77777777" w:rsidR="00C35D49" w:rsidRPr="004E0927" w:rsidRDefault="00C35D49" w:rsidP="00C35D49">
            <w:pPr>
              <w:jc w:val="both"/>
              <w:rPr>
                <w:rFonts w:asciiTheme="minorHAnsi" w:hAnsiTheme="minorHAnsi" w:cstheme="minorHAnsi"/>
                <w:sz w:val="20"/>
                <w:szCs w:val="20"/>
              </w:rPr>
            </w:pPr>
            <w:r w:rsidRPr="004E0927">
              <w:rPr>
                <w:rFonts w:asciiTheme="minorHAnsi" w:hAnsiTheme="minorHAnsi" w:cstheme="minorHAnsi"/>
                <w:sz w:val="20"/>
                <w:szCs w:val="20"/>
              </w:rPr>
              <w:lastRenderedPageBreak/>
              <w:t xml:space="preserve">W kontekście przywołanego w Załączniku nr 2 planowanego dalszego wspierania rozwoju Zintegrowanego Systemu Kwalifikacji, istotne jest </w:t>
            </w:r>
            <w:r w:rsidRPr="004E0927">
              <w:rPr>
                <w:rFonts w:asciiTheme="minorHAnsi" w:hAnsiTheme="minorHAnsi" w:cstheme="minorHAnsi"/>
                <w:sz w:val="20"/>
                <w:szCs w:val="20"/>
              </w:rPr>
              <w:lastRenderedPageBreak/>
              <w:t xml:space="preserve">opisywanie, włączanie do ZSK oraz nadawanie kwalifikacji (w tym rynkowych i uregulowanych), na które składają się lub składać się będą umiejętności zidentyfikowane jako istotne z punktu widzenia celów oraz efektywnej realizacji programu FENG. </w:t>
            </w:r>
          </w:p>
          <w:p w14:paraId="552FE499" w14:textId="77777777" w:rsidR="00C35D49" w:rsidRPr="004E0927" w:rsidRDefault="00C35D49" w:rsidP="00C35D49">
            <w:pPr>
              <w:jc w:val="both"/>
              <w:rPr>
                <w:rFonts w:asciiTheme="minorHAnsi" w:hAnsiTheme="minorHAnsi" w:cstheme="minorHAnsi"/>
                <w:sz w:val="20"/>
                <w:szCs w:val="20"/>
              </w:rPr>
            </w:pPr>
          </w:p>
          <w:p w14:paraId="29619A60" w14:textId="77777777" w:rsidR="00C35D49" w:rsidRPr="004E0927" w:rsidRDefault="00C35D49" w:rsidP="00C35D49">
            <w:pPr>
              <w:jc w:val="both"/>
              <w:rPr>
                <w:rFonts w:asciiTheme="minorHAnsi" w:hAnsiTheme="minorHAnsi" w:cstheme="minorHAnsi"/>
                <w:sz w:val="20"/>
                <w:szCs w:val="20"/>
              </w:rPr>
            </w:pPr>
            <w:r w:rsidRPr="004E0927">
              <w:rPr>
                <w:rFonts w:asciiTheme="minorHAnsi" w:hAnsiTheme="minorHAnsi" w:cstheme="minorHAnsi"/>
                <w:sz w:val="20"/>
                <w:szCs w:val="20"/>
              </w:rPr>
              <w:t xml:space="preserve">W procesy te powinny zostać włączone osoby zaangażowane w realizację programu FENG, w tym zarówno przedstawiciele instytucji pośredniczących (PARP, NCBR, FNP, OPI PIB, itd.), jak i grup docelowych. </w:t>
            </w:r>
          </w:p>
          <w:p w14:paraId="206C11B8" w14:textId="77777777" w:rsidR="00C35D49" w:rsidRPr="004E0927" w:rsidRDefault="00C35D49" w:rsidP="00C35D49">
            <w:pPr>
              <w:jc w:val="both"/>
              <w:rPr>
                <w:rFonts w:asciiTheme="minorHAnsi" w:hAnsiTheme="minorHAnsi" w:cstheme="minorHAnsi"/>
                <w:sz w:val="20"/>
                <w:szCs w:val="20"/>
              </w:rPr>
            </w:pPr>
          </w:p>
          <w:p w14:paraId="6CF08633" w14:textId="77777777" w:rsidR="00C35D49" w:rsidRPr="004E0927" w:rsidRDefault="00C35D49" w:rsidP="00C35D49">
            <w:pPr>
              <w:jc w:val="both"/>
              <w:rPr>
                <w:rFonts w:asciiTheme="minorHAnsi" w:hAnsiTheme="minorHAnsi" w:cstheme="minorHAnsi"/>
                <w:sz w:val="20"/>
                <w:szCs w:val="20"/>
              </w:rPr>
            </w:pPr>
            <w:r w:rsidRPr="004E0927">
              <w:rPr>
                <w:rFonts w:asciiTheme="minorHAnsi" w:hAnsiTheme="minorHAnsi" w:cstheme="minorHAnsi"/>
                <w:sz w:val="20"/>
                <w:szCs w:val="20"/>
              </w:rPr>
              <w:t xml:space="preserve">Osoby te mogłyby zostać wsparte w tym procesie przez Instytut Badań Edukacyjnych (IBE) wykonujący – na zlecenie ministra koordynatora ZSK – zadania w obszarze wspierania wdrażania i rozwoju ZSK w Polsce. </w:t>
            </w:r>
          </w:p>
          <w:p w14:paraId="625941DE" w14:textId="77777777" w:rsidR="00C35D49" w:rsidRPr="004E0927" w:rsidRDefault="00C35D49" w:rsidP="00C35D49">
            <w:pPr>
              <w:jc w:val="both"/>
              <w:rPr>
                <w:rFonts w:asciiTheme="minorHAnsi" w:hAnsiTheme="minorHAnsi" w:cstheme="minorHAnsi"/>
                <w:sz w:val="20"/>
                <w:szCs w:val="20"/>
              </w:rPr>
            </w:pPr>
          </w:p>
          <w:p w14:paraId="1540DEDB" w14:textId="77777777" w:rsidR="00C35D49" w:rsidRPr="004E0927" w:rsidRDefault="00C35D49" w:rsidP="00C35D49">
            <w:pPr>
              <w:jc w:val="both"/>
              <w:rPr>
                <w:rFonts w:asciiTheme="minorHAnsi" w:hAnsiTheme="minorHAnsi" w:cstheme="minorHAnsi"/>
                <w:sz w:val="20"/>
                <w:szCs w:val="20"/>
              </w:rPr>
            </w:pPr>
            <w:r w:rsidRPr="004E0927">
              <w:rPr>
                <w:rFonts w:asciiTheme="minorHAnsi" w:hAnsiTheme="minorHAnsi" w:cstheme="minorHAnsi"/>
                <w:sz w:val="20"/>
                <w:szCs w:val="20"/>
              </w:rPr>
              <w:t>Opisane działania wzmocniłyby dodatkowo komplementarność programów FENG oraz FERS.</w:t>
            </w:r>
          </w:p>
        </w:tc>
        <w:tc>
          <w:tcPr>
            <w:tcW w:w="4961" w:type="dxa"/>
            <w:shd w:val="clear" w:color="auto" w:fill="auto"/>
          </w:tcPr>
          <w:p w14:paraId="74B23F0A" w14:textId="77777777" w:rsidR="00C35D49" w:rsidRPr="004E0927" w:rsidRDefault="00C35D49" w:rsidP="00C35D49">
            <w:pPr>
              <w:jc w:val="both"/>
              <w:rPr>
                <w:rFonts w:asciiTheme="minorHAnsi" w:hAnsiTheme="minorHAnsi" w:cstheme="minorHAnsi"/>
                <w:sz w:val="20"/>
                <w:szCs w:val="20"/>
              </w:rPr>
            </w:pPr>
          </w:p>
        </w:tc>
        <w:tc>
          <w:tcPr>
            <w:tcW w:w="1701" w:type="dxa"/>
          </w:tcPr>
          <w:p w14:paraId="75294769" w14:textId="77777777" w:rsidR="00C35D49" w:rsidRPr="004E0927" w:rsidRDefault="00C35D49" w:rsidP="00C35D49">
            <w:pPr>
              <w:jc w:val="both"/>
              <w:rPr>
                <w:rFonts w:asciiTheme="minorHAnsi" w:hAnsiTheme="minorHAnsi" w:cstheme="minorHAnsi"/>
                <w:sz w:val="20"/>
                <w:szCs w:val="20"/>
              </w:rPr>
            </w:pPr>
            <w:r>
              <w:rPr>
                <w:rFonts w:asciiTheme="minorHAnsi" w:hAnsiTheme="minorHAnsi" w:cstheme="minorHAnsi"/>
                <w:sz w:val="20"/>
                <w:szCs w:val="20"/>
              </w:rPr>
              <w:t>wyjaśnienie</w:t>
            </w:r>
          </w:p>
        </w:tc>
        <w:tc>
          <w:tcPr>
            <w:tcW w:w="1900" w:type="dxa"/>
          </w:tcPr>
          <w:p w14:paraId="4BA56CD2" w14:textId="77777777" w:rsidR="00C35D49" w:rsidRDefault="00C35D49" w:rsidP="00C35D49">
            <w:pPr>
              <w:jc w:val="both"/>
              <w:rPr>
                <w:rFonts w:asciiTheme="minorHAnsi" w:hAnsiTheme="minorHAnsi" w:cstheme="minorHAnsi"/>
                <w:sz w:val="20"/>
                <w:szCs w:val="20"/>
              </w:rPr>
            </w:pPr>
            <w:r>
              <w:rPr>
                <w:rFonts w:asciiTheme="minorHAnsi" w:hAnsiTheme="minorHAnsi" w:cstheme="minorHAnsi"/>
                <w:sz w:val="20"/>
                <w:szCs w:val="20"/>
              </w:rPr>
              <w:t xml:space="preserve">Komplementarność wsparcia FENG i FERS stanowi </w:t>
            </w:r>
            <w:r>
              <w:rPr>
                <w:rFonts w:asciiTheme="minorHAnsi" w:hAnsiTheme="minorHAnsi" w:cstheme="minorHAnsi"/>
                <w:sz w:val="20"/>
                <w:szCs w:val="20"/>
              </w:rPr>
              <w:lastRenderedPageBreak/>
              <w:t>podstawę do współpracy w obszarach, które są istotne z punktu widzenia celów i efektywnej realizacji FENG. W trakcie tworzenia dokumentacji wdrożeniowej, uwaga ta, jak i możliwość nawiązania współpracy z IBE, zostaną wzięte pod uwagę.</w:t>
            </w:r>
          </w:p>
          <w:p w14:paraId="244CA0DD" w14:textId="77777777" w:rsidR="00C35D49" w:rsidRDefault="00C35D49" w:rsidP="00C35D49">
            <w:pPr>
              <w:jc w:val="both"/>
              <w:rPr>
                <w:rFonts w:asciiTheme="minorHAnsi" w:hAnsiTheme="minorHAnsi" w:cstheme="minorHAnsi"/>
                <w:sz w:val="20"/>
                <w:szCs w:val="20"/>
              </w:rPr>
            </w:pPr>
          </w:p>
          <w:p w14:paraId="3164750C" w14:textId="77777777" w:rsidR="00C35D49" w:rsidRDefault="00C35D49" w:rsidP="00C35D49">
            <w:pPr>
              <w:jc w:val="both"/>
              <w:rPr>
                <w:rFonts w:asciiTheme="minorHAnsi" w:hAnsiTheme="minorHAnsi" w:cstheme="minorHAnsi"/>
                <w:sz w:val="20"/>
                <w:szCs w:val="20"/>
              </w:rPr>
            </w:pPr>
            <w:r>
              <w:rPr>
                <w:rFonts w:asciiTheme="minorHAnsi" w:hAnsiTheme="minorHAnsi" w:cstheme="minorHAnsi"/>
                <w:sz w:val="20"/>
                <w:szCs w:val="20"/>
              </w:rPr>
              <w:t>Kwalifikacje ujęte w ZSK będą promowane w ramach FENG.</w:t>
            </w:r>
          </w:p>
          <w:p w14:paraId="2AC3F955" w14:textId="77777777" w:rsidR="00D42B94" w:rsidRPr="004E0927" w:rsidRDefault="00D42B94" w:rsidP="00C35D49">
            <w:pPr>
              <w:jc w:val="both"/>
              <w:rPr>
                <w:rFonts w:asciiTheme="minorHAnsi" w:hAnsiTheme="minorHAnsi" w:cstheme="minorHAnsi"/>
                <w:sz w:val="20"/>
                <w:szCs w:val="20"/>
              </w:rPr>
            </w:pPr>
          </w:p>
        </w:tc>
      </w:tr>
      <w:tr w:rsidR="00AD0C0D" w:rsidRPr="004E0927" w14:paraId="68A54272" w14:textId="77777777" w:rsidTr="003A0B1E">
        <w:tc>
          <w:tcPr>
            <w:tcW w:w="533" w:type="dxa"/>
            <w:shd w:val="clear" w:color="auto" w:fill="auto"/>
            <w:vAlign w:val="center"/>
          </w:tcPr>
          <w:p w14:paraId="446F1CF0" w14:textId="77777777" w:rsidR="00AD0C0D" w:rsidRPr="004E0927" w:rsidRDefault="00AD0C0D" w:rsidP="00DD331D">
            <w:pPr>
              <w:pStyle w:val="Akapitzlist"/>
              <w:numPr>
                <w:ilvl w:val="0"/>
                <w:numId w:val="3"/>
              </w:numPr>
              <w:spacing w:before="120" w:after="120"/>
              <w:jc w:val="center"/>
              <w:rPr>
                <w:rFonts w:asciiTheme="minorHAnsi" w:hAnsiTheme="minorHAnsi" w:cstheme="minorHAnsi"/>
                <w:b/>
                <w:sz w:val="20"/>
                <w:szCs w:val="20"/>
              </w:rPr>
            </w:pPr>
          </w:p>
        </w:tc>
        <w:tc>
          <w:tcPr>
            <w:tcW w:w="771" w:type="dxa"/>
            <w:shd w:val="clear" w:color="auto" w:fill="auto"/>
            <w:vAlign w:val="center"/>
          </w:tcPr>
          <w:p w14:paraId="75B5F0E3" w14:textId="77777777" w:rsidR="00AD0C0D" w:rsidRPr="004E0927" w:rsidRDefault="009B47DF" w:rsidP="001F4962">
            <w:pPr>
              <w:spacing w:before="60" w:after="60"/>
              <w:jc w:val="center"/>
              <w:rPr>
                <w:rFonts w:asciiTheme="minorHAnsi" w:hAnsiTheme="minorHAnsi" w:cstheme="minorHAnsi"/>
                <w:b/>
                <w:sz w:val="20"/>
                <w:szCs w:val="20"/>
              </w:rPr>
            </w:pPr>
            <w:r>
              <w:rPr>
                <w:rFonts w:asciiTheme="minorHAnsi" w:hAnsiTheme="minorHAnsi" w:cstheme="minorHAnsi"/>
                <w:b/>
                <w:sz w:val="20"/>
                <w:szCs w:val="20"/>
              </w:rPr>
              <w:t>MKiŚ</w:t>
            </w:r>
          </w:p>
        </w:tc>
        <w:tc>
          <w:tcPr>
            <w:tcW w:w="1318" w:type="dxa"/>
            <w:shd w:val="clear" w:color="auto" w:fill="auto"/>
          </w:tcPr>
          <w:p w14:paraId="5FE71C2A" w14:textId="77777777" w:rsidR="00AD0C0D" w:rsidRPr="004E0927" w:rsidRDefault="003B46EC" w:rsidP="00793878">
            <w:pPr>
              <w:rPr>
                <w:rFonts w:asciiTheme="minorHAnsi" w:hAnsiTheme="minorHAnsi" w:cstheme="minorHAnsi"/>
                <w:sz w:val="20"/>
                <w:szCs w:val="20"/>
              </w:rPr>
            </w:pPr>
            <w:r>
              <w:rPr>
                <w:rFonts w:asciiTheme="minorHAnsi" w:hAnsiTheme="minorHAnsi" w:cstheme="minorHAnsi"/>
                <w:sz w:val="20"/>
                <w:szCs w:val="20"/>
              </w:rPr>
              <w:t>Tabela 1, s</w:t>
            </w:r>
            <w:r w:rsidR="009B47DF" w:rsidRPr="009B47DF">
              <w:rPr>
                <w:rFonts w:asciiTheme="minorHAnsi" w:hAnsiTheme="minorHAnsi" w:cstheme="minorHAnsi"/>
                <w:sz w:val="20"/>
                <w:szCs w:val="20"/>
              </w:rPr>
              <w:t>tr. 18</w:t>
            </w:r>
          </w:p>
        </w:tc>
        <w:tc>
          <w:tcPr>
            <w:tcW w:w="4577" w:type="dxa"/>
            <w:shd w:val="clear" w:color="auto" w:fill="auto"/>
          </w:tcPr>
          <w:p w14:paraId="40306015" w14:textId="77777777" w:rsidR="00AD0C0D" w:rsidRPr="004E0927" w:rsidRDefault="009B47DF" w:rsidP="00793878">
            <w:pPr>
              <w:jc w:val="both"/>
              <w:rPr>
                <w:rFonts w:asciiTheme="minorHAnsi" w:hAnsiTheme="minorHAnsi" w:cstheme="minorHAnsi"/>
                <w:sz w:val="20"/>
                <w:szCs w:val="20"/>
              </w:rPr>
            </w:pPr>
            <w:r w:rsidRPr="009B47DF">
              <w:rPr>
                <w:rFonts w:asciiTheme="minorHAnsi" w:hAnsiTheme="minorHAnsi" w:cstheme="minorHAnsi"/>
                <w:sz w:val="20"/>
                <w:szCs w:val="20"/>
              </w:rPr>
              <w:t xml:space="preserve">Program FENG powinien się skupiać na finansowaniu badań i innowacji, natomiast inwestycje w niskoemisyjną infrastrukturę energetyczną powinny być finansowane w całości w obszarze </w:t>
            </w:r>
            <w:proofErr w:type="spellStart"/>
            <w:r w:rsidRPr="009B47DF">
              <w:rPr>
                <w:rFonts w:asciiTheme="minorHAnsi" w:hAnsiTheme="minorHAnsi" w:cstheme="minorHAnsi"/>
                <w:sz w:val="20"/>
                <w:szCs w:val="20"/>
              </w:rPr>
              <w:t>FEnIKS</w:t>
            </w:r>
            <w:proofErr w:type="spellEnd"/>
          </w:p>
        </w:tc>
        <w:tc>
          <w:tcPr>
            <w:tcW w:w="4961" w:type="dxa"/>
            <w:shd w:val="clear" w:color="auto" w:fill="auto"/>
          </w:tcPr>
          <w:p w14:paraId="1AE2E3E4" w14:textId="77777777" w:rsidR="009B47DF" w:rsidRPr="009B47DF" w:rsidRDefault="009B47DF" w:rsidP="00C35D49">
            <w:pPr>
              <w:jc w:val="both"/>
              <w:rPr>
                <w:rFonts w:asciiTheme="minorHAnsi" w:hAnsiTheme="minorHAnsi" w:cstheme="minorHAnsi"/>
                <w:sz w:val="20"/>
                <w:szCs w:val="20"/>
              </w:rPr>
            </w:pPr>
            <w:r w:rsidRPr="009B47DF">
              <w:rPr>
                <w:rFonts w:asciiTheme="minorHAnsi" w:hAnsiTheme="minorHAnsi" w:cstheme="minorHAnsi"/>
                <w:sz w:val="20"/>
                <w:szCs w:val="20"/>
                <w:u w:val="single"/>
              </w:rPr>
              <w:t>Str. 18</w:t>
            </w:r>
            <w:r w:rsidRPr="009B47DF">
              <w:rPr>
                <w:rFonts w:asciiTheme="minorHAnsi" w:hAnsiTheme="minorHAnsi" w:cstheme="minorHAnsi"/>
                <w:sz w:val="20"/>
                <w:szCs w:val="20"/>
              </w:rPr>
              <w:t xml:space="preserve"> W ramach tego celu szczegółowego przewidziane jest finansowanie przedsięwzięć </w:t>
            </w:r>
            <w:r w:rsidRPr="009B47DF">
              <w:rPr>
                <w:rFonts w:asciiTheme="minorHAnsi" w:hAnsiTheme="minorHAnsi" w:cstheme="minorHAnsi"/>
                <w:color w:val="FF0000"/>
                <w:sz w:val="20"/>
                <w:szCs w:val="20"/>
              </w:rPr>
              <w:t>nakierowanych na finansowanie badań i innowacji</w:t>
            </w:r>
            <w:r w:rsidRPr="009B47DF">
              <w:rPr>
                <w:rFonts w:asciiTheme="minorHAnsi" w:hAnsiTheme="minorHAnsi" w:cstheme="minorHAnsi"/>
                <w:sz w:val="20"/>
                <w:szCs w:val="20"/>
              </w:rPr>
              <w:t xml:space="preserve"> zwiększających efektywność energetyczną poprzez instrument finansowy uzupełniony dotacją oraz instrument mieszany.</w:t>
            </w:r>
          </w:p>
          <w:p w14:paraId="0D4D68A4" w14:textId="77777777" w:rsidR="00AD0C0D" w:rsidRPr="004E0927" w:rsidRDefault="009B47DF" w:rsidP="00C35D49">
            <w:pPr>
              <w:jc w:val="both"/>
              <w:rPr>
                <w:rFonts w:asciiTheme="minorHAnsi" w:hAnsiTheme="minorHAnsi" w:cstheme="minorHAnsi"/>
                <w:sz w:val="20"/>
                <w:szCs w:val="20"/>
              </w:rPr>
            </w:pPr>
            <w:r w:rsidRPr="009B47DF">
              <w:rPr>
                <w:rFonts w:asciiTheme="minorHAnsi" w:hAnsiTheme="minorHAnsi" w:cstheme="minorHAnsi"/>
                <w:sz w:val="20"/>
                <w:szCs w:val="20"/>
              </w:rPr>
              <w:t xml:space="preserve">Planuje się udzielanie gwarancji dla kredytów inwestycyjnych i obrotowych </w:t>
            </w:r>
            <w:r w:rsidRPr="009B47DF">
              <w:rPr>
                <w:rFonts w:asciiTheme="minorHAnsi" w:hAnsiTheme="minorHAnsi" w:cstheme="minorHAnsi"/>
                <w:color w:val="FF0000"/>
                <w:sz w:val="20"/>
                <w:szCs w:val="20"/>
              </w:rPr>
              <w:t>związanych bezpośrednio z działaniami badawczymi i innowacyjnymi</w:t>
            </w:r>
            <w:r w:rsidRPr="009B47DF">
              <w:rPr>
                <w:rFonts w:asciiTheme="minorHAnsi" w:hAnsiTheme="minorHAnsi" w:cstheme="minorHAnsi"/>
                <w:sz w:val="20"/>
                <w:szCs w:val="20"/>
              </w:rPr>
              <w:t xml:space="preserve"> zwiększających efektywność energetyczną</w:t>
            </w:r>
            <w:r w:rsidRPr="009B47DF">
              <w:rPr>
                <w:rFonts w:asciiTheme="minorHAnsi" w:hAnsiTheme="minorHAnsi" w:cstheme="minorHAnsi"/>
                <w:color w:val="FF0000"/>
                <w:sz w:val="20"/>
                <w:szCs w:val="20"/>
              </w:rPr>
              <w:t xml:space="preserve">. </w:t>
            </w:r>
            <w:r w:rsidRPr="009B47DF">
              <w:rPr>
                <w:rFonts w:asciiTheme="minorHAnsi" w:hAnsiTheme="minorHAnsi" w:cstheme="minorHAnsi"/>
                <w:strike/>
                <w:color w:val="FF0000"/>
                <w:sz w:val="20"/>
                <w:szCs w:val="20"/>
              </w:rPr>
              <w:t>, oraz uzupełnienie gwarancji niewielkim komponentem dotacyjnym, który zachęci przedsiębiorstwa do realizacji tego typu projektów.</w:t>
            </w:r>
          </w:p>
        </w:tc>
        <w:tc>
          <w:tcPr>
            <w:tcW w:w="1701" w:type="dxa"/>
          </w:tcPr>
          <w:p w14:paraId="6DB401A4" w14:textId="77777777" w:rsidR="00AD0C0D" w:rsidRDefault="009B47DF" w:rsidP="00793878">
            <w:pPr>
              <w:jc w:val="both"/>
              <w:rPr>
                <w:rFonts w:asciiTheme="minorHAnsi" w:hAnsiTheme="minorHAnsi" w:cstheme="minorHAnsi"/>
                <w:sz w:val="20"/>
                <w:szCs w:val="20"/>
              </w:rPr>
            </w:pPr>
            <w:r>
              <w:rPr>
                <w:rFonts w:asciiTheme="minorHAnsi" w:hAnsiTheme="minorHAnsi" w:cstheme="minorHAnsi"/>
                <w:sz w:val="20"/>
                <w:szCs w:val="20"/>
              </w:rPr>
              <w:t>nieuwzględniona</w:t>
            </w:r>
          </w:p>
        </w:tc>
        <w:tc>
          <w:tcPr>
            <w:tcW w:w="1900" w:type="dxa"/>
          </w:tcPr>
          <w:p w14:paraId="75EB18E2" w14:textId="77777777" w:rsidR="00D42B94" w:rsidRDefault="009B47DF" w:rsidP="009B47DF">
            <w:pPr>
              <w:jc w:val="both"/>
              <w:rPr>
                <w:rFonts w:asciiTheme="minorHAnsi" w:hAnsiTheme="minorHAnsi" w:cstheme="minorHAnsi"/>
                <w:sz w:val="20"/>
                <w:szCs w:val="20"/>
              </w:rPr>
            </w:pPr>
            <w:r w:rsidRPr="009B47DF">
              <w:rPr>
                <w:rFonts w:asciiTheme="minorHAnsi" w:hAnsiTheme="minorHAnsi" w:cstheme="minorHAnsi"/>
                <w:sz w:val="20"/>
                <w:szCs w:val="20"/>
              </w:rPr>
              <w:t xml:space="preserve">CP 2 został włączony do FENG              w związku                 z uwagą MKIŚ zgłoszoną                 w ramach konsultacji międzyresortowych. </w:t>
            </w:r>
          </w:p>
          <w:p w14:paraId="2DAFD4E9" w14:textId="572699E6" w:rsidR="009B47DF" w:rsidRPr="009B47DF" w:rsidRDefault="009B47DF" w:rsidP="009B47DF">
            <w:pPr>
              <w:jc w:val="both"/>
              <w:rPr>
                <w:rFonts w:asciiTheme="minorHAnsi" w:hAnsiTheme="minorHAnsi" w:cstheme="minorHAnsi"/>
                <w:sz w:val="20"/>
                <w:szCs w:val="20"/>
              </w:rPr>
            </w:pPr>
            <w:r w:rsidRPr="009B47DF">
              <w:rPr>
                <w:rFonts w:asciiTheme="minorHAnsi" w:hAnsiTheme="minorHAnsi" w:cstheme="minorHAnsi"/>
                <w:sz w:val="20"/>
                <w:szCs w:val="20"/>
              </w:rPr>
              <w:t xml:space="preserve"> </w:t>
            </w:r>
          </w:p>
          <w:p w14:paraId="7EEAF9DF" w14:textId="77777777" w:rsidR="00D42B94" w:rsidRDefault="009B47DF" w:rsidP="009B47DF">
            <w:pPr>
              <w:jc w:val="both"/>
              <w:rPr>
                <w:rFonts w:asciiTheme="minorHAnsi" w:hAnsiTheme="minorHAnsi" w:cstheme="minorHAnsi"/>
                <w:sz w:val="20"/>
                <w:szCs w:val="20"/>
              </w:rPr>
            </w:pPr>
            <w:r w:rsidRPr="009B47DF">
              <w:rPr>
                <w:rFonts w:asciiTheme="minorHAnsi" w:hAnsiTheme="minorHAnsi" w:cstheme="minorHAnsi"/>
                <w:sz w:val="20"/>
                <w:szCs w:val="20"/>
              </w:rPr>
              <w:t xml:space="preserve">Równocześnie należy zauważyć, że zielona ścieżka w funduszu gwarancyjnym wspierająca efektywność energetyczną, realizowana jest już                      </w:t>
            </w:r>
            <w:r w:rsidRPr="009B47DF">
              <w:rPr>
                <w:rFonts w:asciiTheme="minorHAnsi" w:hAnsiTheme="minorHAnsi" w:cstheme="minorHAnsi"/>
                <w:sz w:val="20"/>
                <w:szCs w:val="20"/>
              </w:rPr>
              <w:lastRenderedPageBreak/>
              <w:t>w obecnej perspektywie w ramach POIR.</w:t>
            </w:r>
          </w:p>
          <w:p w14:paraId="7ACAC5AF" w14:textId="77777777" w:rsidR="00D42B94" w:rsidRDefault="00D42B94" w:rsidP="009B47DF">
            <w:pPr>
              <w:jc w:val="both"/>
              <w:rPr>
                <w:rFonts w:asciiTheme="minorHAnsi" w:hAnsiTheme="minorHAnsi" w:cstheme="minorHAnsi"/>
                <w:sz w:val="20"/>
                <w:szCs w:val="20"/>
              </w:rPr>
            </w:pPr>
          </w:p>
          <w:p w14:paraId="500ED185" w14:textId="77777777" w:rsidR="00AD0C0D" w:rsidRDefault="00D42B94" w:rsidP="009B47DF">
            <w:pPr>
              <w:jc w:val="both"/>
              <w:rPr>
                <w:rFonts w:asciiTheme="minorHAnsi" w:hAnsiTheme="minorHAnsi" w:cstheme="minorHAnsi"/>
                <w:sz w:val="20"/>
                <w:szCs w:val="20"/>
              </w:rPr>
            </w:pPr>
            <w:r>
              <w:rPr>
                <w:rFonts w:asciiTheme="minorHAnsi" w:hAnsiTheme="minorHAnsi" w:cstheme="minorHAnsi"/>
                <w:sz w:val="20"/>
                <w:szCs w:val="20"/>
              </w:rPr>
              <w:t xml:space="preserve">Dodatkowo             </w:t>
            </w:r>
            <w:r w:rsidR="009B47DF" w:rsidRPr="009B47DF">
              <w:rPr>
                <w:rFonts w:asciiTheme="minorHAnsi" w:hAnsiTheme="minorHAnsi" w:cstheme="minorHAnsi"/>
                <w:sz w:val="20"/>
                <w:szCs w:val="20"/>
              </w:rPr>
              <w:t>w FENIKS instrumenty finansowe są wskazane jedynie jako rozważana  forma wspierania efektywności energetycznej.</w:t>
            </w:r>
          </w:p>
          <w:p w14:paraId="4D87AA83" w14:textId="6C866482" w:rsidR="00D42B94" w:rsidRDefault="00D42B94" w:rsidP="009B47DF">
            <w:pPr>
              <w:jc w:val="both"/>
              <w:rPr>
                <w:rFonts w:asciiTheme="minorHAnsi" w:hAnsiTheme="minorHAnsi" w:cstheme="minorHAnsi"/>
                <w:sz w:val="20"/>
                <w:szCs w:val="20"/>
              </w:rPr>
            </w:pPr>
          </w:p>
        </w:tc>
      </w:tr>
      <w:tr w:rsidR="009B47DF" w:rsidRPr="004E0927" w14:paraId="2FF4497D" w14:textId="77777777" w:rsidTr="003A0B1E">
        <w:tc>
          <w:tcPr>
            <w:tcW w:w="533" w:type="dxa"/>
            <w:shd w:val="clear" w:color="auto" w:fill="auto"/>
            <w:vAlign w:val="center"/>
          </w:tcPr>
          <w:p w14:paraId="26F30DF8" w14:textId="77777777" w:rsidR="009B47DF" w:rsidRPr="004E0927" w:rsidRDefault="009B47DF" w:rsidP="00DD331D">
            <w:pPr>
              <w:pStyle w:val="Akapitzlist"/>
              <w:numPr>
                <w:ilvl w:val="0"/>
                <w:numId w:val="3"/>
              </w:numPr>
              <w:spacing w:before="120" w:after="120"/>
              <w:jc w:val="center"/>
              <w:rPr>
                <w:rFonts w:asciiTheme="minorHAnsi" w:hAnsiTheme="minorHAnsi" w:cstheme="minorHAnsi"/>
                <w:b/>
                <w:sz w:val="20"/>
                <w:szCs w:val="20"/>
              </w:rPr>
            </w:pPr>
          </w:p>
        </w:tc>
        <w:tc>
          <w:tcPr>
            <w:tcW w:w="771" w:type="dxa"/>
            <w:shd w:val="clear" w:color="auto" w:fill="auto"/>
            <w:vAlign w:val="center"/>
          </w:tcPr>
          <w:p w14:paraId="556BB4EA" w14:textId="77777777" w:rsidR="009B47DF" w:rsidRDefault="009B47DF" w:rsidP="001F4962">
            <w:pPr>
              <w:spacing w:before="60" w:after="60"/>
              <w:jc w:val="center"/>
              <w:rPr>
                <w:rFonts w:asciiTheme="minorHAnsi" w:hAnsiTheme="minorHAnsi" w:cstheme="minorHAnsi"/>
                <w:b/>
                <w:sz w:val="20"/>
                <w:szCs w:val="20"/>
              </w:rPr>
            </w:pPr>
            <w:r>
              <w:rPr>
                <w:rFonts w:asciiTheme="minorHAnsi" w:hAnsiTheme="minorHAnsi" w:cstheme="minorHAnsi"/>
                <w:b/>
                <w:sz w:val="20"/>
                <w:szCs w:val="20"/>
              </w:rPr>
              <w:t>MKiŚ</w:t>
            </w:r>
          </w:p>
        </w:tc>
        <w:tc>
          <w:tcPr>
            <w:tcW w:w="1318" w:type="dxa"/>
            <w:shd w:val="clear" w:color="auto" w:fill="auto"/>
          </w:tcPr>
          <w:p w14:paraId="20085C56" w14:textId="77777777" w:rsidR="009B47DF" w:rsidRPr="004E0927" w:rsidRDefault="003B46EC" w:rsidP="00793878">
            <w:pPr>
              <w:rPr>
                <w:rFonts w:asciiTheme="minorHAnsi" w:hAnsiTheme="minorHAnsi" w:cstheme="minorHAnsi"/>
                <w:sz w:val="20"/>
                <w:szCs w:val="20"/>
              </w:rPr>
            </w:pPr>
            <w:r w:rsidRPr="003B46EC">
              <w:rPr>
                <w:rFonts w:asciiTheme="minorHAnsi" w:hAnsiTheme="minorHAnsi" w:cstheme="minorHAnsi"/>
                <w:sz w:val="20"/>
                <w:szCs w:val="20"/>
              </w:rPr>
              <w:t>Punkt 2.1.1.1.1. Interwencje w ra</w:t>
            </w:r>
            <w:r>
              <w:rPr>
                <w:rFonts w:asciiTheme="minorHAnsi" w:hAnsiTheme="minorHAnsi" w:cstheme="minorHAnsi"/>
                <w:sz w:val="20"/>
                <w:szCs w:val="20"/>
              </w:rPr>
              <w:t>mach Funduszy, s</w:t>
            </w:r>
            <w:r w:rsidRPr="003B46EC">
              <w:rPr>
                <w:rFonts w:asciiTheme="minorHAnsi" w:hAnsiTheme="minorHAnsi" w:cstheme="minorHAnsi"/>
                <w:sz w:val="20"/>
                <w:szCs w:val="20"/>
              </w:rPr>
              <w:t>tr. 76</w:t>
            </w:r>
          </w:p>
        </w:tc>
        <w:tc>
          <w:tcPr>
            <w:tcW w:w="4577" w:type="dxa"/>
            <w:shd w:val="clear" w:color="auto" w:fill="auto"/>
          </w:tcPr>
          <w:p w14:paraId="7BCB1539" w14:textId="77777777" w:rsidR="009B47DF" w:rsidRPr="009B47DF" w:rsidRDefault="003B46EC" w:rsidP="00793878">
            <w:pPr>
              <w:jc w:val="both"/>
              <w:rPr>
                <w:rFonts w:asciiTheme="minorHAnsi" w:hAnsiTheme="minorHAnsi" w:cstheme="minorHAnsi"/>
                <w:sz w:val="20"/>
                <w:szCs w:val="20"/>
              </w:rPr>
            </w:pPr>
            <w:r w:rsidRPr="003B46EC">
              <w:rPr>
                <w:rFonts w:asciiTheme="minorHAnsi" w:hAnsiTheme="minorHAnsi" w:cstheme="minorHAnsi"/>
                <w:sz w:val="20"/>
                <w:szCs w:val="20"/>
              </w:rPr>
              <w:t xml:space="preserve">Program FENG powinien się skupiać na finansowaniu badań i innowacji, natomiast inwestycje w niskoemisyjną infrastrukturę energetyczną powinny być finansowane w całości w obszarze </w:t>
            </w:r>
            <w:proofErr w:type="spellStart"/>
            <w:r w:rsidRPr="003B46EC">
              <w:rPr>
                <w:rFonts w:asciiTheme="minorHAnsi" w:hAnsiTheme="minorHAnsi" w:cstheme="minorHAnsi"/>
                <w:sz w:val="20"/>
                <w:szCs w:val="20"/>
              </w:rPr>
              <w:t>FEnIKS</w:t>
            </w:r>
            <w:proofErr w:type="spellEnd"/>
          </w:p>
        </w:tc>
        <w:tc>
          <w:tcPr>
            <w:tcW w:w="4961" w:type="dxa"/>
            <w:shd w:val="clear" w:color="auto" w:fill="auto"/>
          </w:tcPr>
          <w:p w14:paraId="38FA1E93" w14:textId="77777777" w:rsidR="003B46EC" w:rsidRPr="00D42B94" w:rsidRDefault="003B46EC" w:rsidP="003B46EC">
            <w:pPr>
              <w:spacing w:after="200"/>
              <w:jc w:val="both"/>
              <w:rPr>
                <w:rFonts w:ascii="Calibri" w:hAnsi="Calibri" w:cs="Calibri"/>
                <w:b/>
                <w:sz w:val="20"/>
                <w:szCs w:val="20"/>
              </w:rPr>
            </w:pPr>
            <w:r w:rsidRPr="00D42B94">
              <w:rPr>
                <w:rFonts w:ascii="Calibri" w:hAnsi="Calibri" w:cs="Calibri"/>
                <w:sz w:val="20"/>
                <w:szCs w:val="20"/>
                <w:u w:val="single"/>
              </w:rPr>
              <w:t>Str. 76</w:t>
            </w:r>
            <w:r w:rsidRPr="00D42B94">
              <w:rPr>
                <w:rFonts w:ascii="Calibri" w:hAnsi="Calibri" w:cs="Calibri"/>
                <w:b/>
                <w:sz w:val="20"/>
                <w:szCs w:val="20"/>
              </w:rPr>
              <w:t xml:space="preserve"> Finansowanie </w:t>
            </w:r>
            <w:r w:rsidRPr="00D42B94">
              <w:rPr>
                <w:rFonts w:ascii="Calibri" w:hAnsi="Calibri" w:cs="Calibri"/>
                <w:b/>
                <w:color w:val="FF0000"/>
                <w:sz w:val="20"/>
                <w:szCs w:val="20"/>
              </w:rPr>
              <w:t>badań i innowacji</w:t>
            </w:r>
            <w:r w:rsidRPr="00D42B94">
              <w:rPr>
                <w:rFonts w:ascii="Calibri" w:hAnsi="Calibri" w:cs="Calibri"/>
                <w:b/>
                <w:sz w:val="20"/>
                <w:szCs w:val="20"/>
              </w:rPr>
              <w:t xml:space="preserve"> </w:t>
            </w:r>
            <w:r w:rsidRPr="00D42B94">
              <w:rPr>
                <w:rFonts w:ascii="Calibri" w:hAnsi="Calibri" w:cs="Calibri"/>
                <w:b/>
                <w:strike/>
                <w:color w:val="FF0000"/>
                <w:sz w:val="20"/>
                <w:szCs w:val="20"/>
              </w:rPr>
              <w:t>inwestycji</w:t>
            </w:r>
            <w:r w:rsidRPr="00D42B94">
              <w:rPr>
                <w:rFonts w:ascii="Calibri" w:hAnsi="Calibri" w:cs="Calibri"/>
                <w:b/>
                <w:color w:val="FF0000"/>
                <w:sz w:val="20"/>
                <w:szCs w:val="20"/>
              </w:rPr>
              <w:t xml:space="preserve"> </w:t>
            </w:r>
            <w:r w:rsidRPr="00D42B94">
              <w:rPr>
                <w:rFonts w:ascii="Calibri" w:hAnsi="Calibri" w:cs="Calibri"/>
                <w:b/>
                <w:sz w:val="20"/>
                <w:szCs w:val="20"/>
              </w:rPr>
              <w:t xml:space="preserve">zwiększających efektywność energetyczną </w:t>
            </w:r>
            <w:r w:rsidRPr="00D42B94">
              <w:rPr>
                <w:rFonts w:ascii="Calibri" w:hAnsi="Calibri" w:cs="Calibri"/>
                <w:b/>
                <w:color w:val="FF0000"/>
                <w:sz w:val="20"/>
                <w:szCs w:val="20"/>
              </w:rPr>
              <w:t xml:space="preserve">przedsiębiorstw </w:t>
            </w:r>
            <w:r w:rsidRPr="00D42B94">
              <w:rPr>
                <w:rFonts w:ascii="Calibri" w:hAnsi="Calibri" w:cs="Calibri"/>
                <w:b/>
                <w:sz w:val="20"/>
                <w:szCs w:val="20"/>
              </w:rPr>
              <w:t>z wykorzystaniem instrumentu gwarancyjnego</w:t>
            </w:r>
          </w:p>
          <w:p w14:paraId="6E73B269" w14:textId="77777777" w:rsidR="003B46EC" w:rsidRPr="00D42B94" w:rsidRDefault="003B46EC" w:rsidP="003B46EC">
            <w:pPr>
              <w:spacing w:before="60" w:after="60"/>
              <w:jc w:val="both"/>
              <w:rPr>
                <w:rFonts w:ascii="Calibri" w:hAnsi="Calibri" w:cs="Calibri"/>
                <w:sz w:val="20"/>
                <w:szCs w:val="20"/>
              </w:rPr>
            </w:pPr>
            <w:r w:rsidRPr="00D42B94">
              <w:rPr>
                <w:rFonts w:ascii="Calibri" w:hAnsi="Calibri" w:cs="Calibri"/>
                <w:sz w:val="20"/>
                <w:szCs w:val="20"/>
              </w:rPr>
              <w:t>Przyspieszenie i zwiększenie skali transformacji energetycznej przedsiębiorstw w Polsce wymaga zapewnienia odpowiednich źródeł finansowania tego procesu, w tym inwestycji              i innych kosztów związanych z taką transformacją. W FENG zadanie to będzie realizowane między innymi poprzez instrument gwarancyjny.</w:t>
            </w:r>
          </w:p>
          <w:p w14:paraId="67904B25" w14:textId="77777777" w:rsidR="003B46EC" w:rsidRPr="00D42B94" w:rsidRDefault="003B46EC" w:rsidP="003B46EC">
            <w:pPr>
              <w:spacing w:before="60" w:after="60"/>
              <w:jc w:val="both"/>
              <w:rPr>
                <w:rFonts w:ascii="Calibri" w:hAnsi="Calibri" w:cs="Calibri"/>
                <w:sz w:val="20"/>
                <w:szCs w:val="20"/>
              </w:rPr>
            </w:pPr>
            <w:r w:rsidRPr="00D42B94">
              <w:rPr>
                <w:rFonts w:ascii="Calibri" w:hAnsi="Calibri" w:cs="Calibri"/>
                <w:sz w:val="20"/>
                <w:szCs w:val="20"/>
              </w:rPr>
              <w:t xml:space="preserve">W ramach Celu 2 instrument ten ma zapewnić finansowanie </w:t>
            </w:r>
            <w:r w:rsidRPr="00D42B94">
              <w:rPr>
                <w:rFonts w:ascii="Calibri" w:hAnsi="Calibri" w:cs="Calibri"/>
                <w:strike/>
                <w:color w:val="FF0000"/>
                <w:sz w:val="20"/>
                <w:szCs w:val="20"/>
              </w:rPr>
              <w:t>inwestycji</w:t>
            </w:r>
            <w:r w:rsidRPr="00D42B94">
              <w:rPr>
                <w:rFonts w:ascii="Calibri" w:hAnsi="Calibri" w:cs="Calibri"/>
                <w:color w:val="FF0000"/>
                <w:sz w:val="20"/>
                <w:szCs w:val="20"/>
              </w:rPr>
              <w:t xml:space="preserve"> przedsięwzięć związanych bezpośrednio z działaniami badawczymi i innowacyjnymi w obszarze dotyczącym zwiększenia efektywności energetycznej przedsiębiorstw. </w:t>
            </w:r>
            <w:r w:rsidRPr="00D42B94">
              <w:rPr>
                <w:rFonts w:ascii="Calibri" w:hAnsi="Calibri" w:cs="Calibri"/>
                <w:strike/>
                <w:color w:val="FF0000"/>
                <w:sz w:val="20"/>
                <w:szCs w:val="20"/>
              </w:rPr>
              <w:t>działalności., w tym modernizację budynków, linii produkcyjnych, zakup urządzeń ograniczających zużycie energii elektrycznej lub cieplnej, zwiększenie wykorzystania odnawialnych źródeł energii, instalacje wytwarzające energię ze źródeł odnawialnych. Możliwe jest również objęcie gwarancją kredytu obrotowego, udzielanego instalatorom rozwiązań efektywnych energetycznie                            z przeznaczeniem na finansowanie kapitału obrotowego powiązanego z realizacją kontraktu na rzecz podmiotu trzeciego (zamawiającego).</w:t>
            </w:r>
          </w:p>
          <w:p w14:paraId="259FC4F3" w14:textId="77777777" w:rsidR="009B47DF" w:rsidRPr="004E0927" w:rsidRDefault="009B47DF" w:rsidP="00793878">
            <w:pPr>
              <w:jc w:val="both"/>
              <w:rPr>
                <w:rFonts w:asciiTheme="minorHAnsi" w:hAnsiTheme="minorHAnsi" w:cstheme="minorHAnsi"/>
                <w:sz w:val="20"/>
                <w:szCs w:val="20"/>
              </w:rPr>
            </w:pPr>
          </w:p>
        </w:tc>
        <w:tc>
          <w:tcPr>
            <w:tcW w:w="1701" w:type="dxa"/>
          </w:tcPr>
          <w:p w14:paraId="7D537770" w14:textId="020245A1" w:rsidR="009B47DF" w:rsidRDefault="00D42B94" w:rsidP="00793878">
            <w:pPr>
              <w:jc w:val="both"/>
              <w:rPr>
                <w:rFonts w:asciiTheme="minorHAnsi" w:hAnsiTheme="minorHAnsi" w:cstheme="minorHAnsi"/>
                <w:sz w:val="20"/>
                <w:szCs w:val="20"/>
              </w:rPr>
            </w:pPr>
            <w:r>
              <w:rPr>
                <w:rFonts w:asciiTheme="minorHAnsi" w:hAnsiTheme="minorHAnsi" w:cstheme="minorHAnsi"/>
                <w:sz w:val="20"/>
                <w:szCs w:val="20"/>
              </w:rPr>
              <w:lastRenderedPageBreak/>
              <w:t>nieuwzglę</w:t>
            </w:r>
            <w:r w:rsidR="003B46EC">
              <w:rPr>
                <w:rFonts w:asciiTheme="minorHAnsi" w:hAnsiTheme="minorHAnsi" w:cstheme="minorHAnsi"/>
                <w:sz w:val="20"/>
                <w:szCs w:val="20"/>
              </w:rPr>
              <w:t>dniona</w:t>
            </w:r>
          </w:p>
        </w:tc>
        <w:tc>
          <w:tcPr>
            <w:tcW w:w="1900" w:type="dxa"/>
          </w:tcPr>
          <w:p w14:paraId="061A09BD" w14:textId="77777777" w:rsidR="009B47DF" w:rsidRDefault="003B46EC" w:rsidP="00066816">
            <w:pPr>
              <w:jc w:val="both"/>
              <w:rPr>
                <w:rFonts w:asciiTheme="minorHAnsi" w:hAnsiTheme="minorHAnsi" w:cstheme="minorHAnsi"/>
                <w:sz w:val="20"/>
                <w:szCs w:val="20"/>
              </w:rPr>
            </w:pPr>
            <w:r>
              <w:rPr>
                <w:rFonts w:asciiTheme="minorHAnsi" w:hAnsiTheme="minorHAnsi" w:cstheme="minorHAnsi"/>
                <w:sz w:val="20"/>
                <w:szCs w:val="20"/>
              </w:rPr>
              <w:t>Uzasadnienie jak w pkt 26</w:t>
            </w:r>
            <w:r w:rsidRPr="003B46EC">
              <w:rPr>
                <w:rFonts w:asciiTheme="minorHAnsi" w:hAnsiTheme="minorHAnsi" w:cstheme="minorHAnsi"/>
                <w:sz w:val="20"/>
                <w:szCs w:val="20"/>
              </w:rPr>
              <w:t xml:space="preserve"> tabeli</w:t>
            </w:r>
          </w:p>
        </w:tc>
      </w:tr>
      <w:tr w:rsidR="009B47DF" w:rsidRPr="004E0927" w14:paraId="459263DA" w14:textId="77777777" w:rsidTr="003A0B1E">
        <w:tc>
          <w:tcPr>
            <w:tcW w:w="533" w:type="dxa"/>
            <w:shd w:val="clear" w:color="auto" w:fill="auto"/>
            <w:vAlign w:val="center"/>
          </w:tcPr>
          <w:p w14:paraId="49B4123B" w14:textId="77777777" w:rsidR="009B47DF" w:rsidRPr="004E0927" w:rsidRDefault="009B47DF" w:rsidP="00DD331D">
            <w:pPr>
              <w:pStyle w:val="Akapitzlist"/>
              <w:numPr>
                <w:ilvl w:val="0"/>
                <w:numId w:val="3"/>
              </w:numPr>
              <w:spacing w:before="120" w:after="120"/>
              <w:jc w:val="center"/>
              <w:rPr>
                <w:rFonts w:asciiTheme="minorHAnsi" w:hAnsiTheme="minorHAnsi" w:cstheme="minorHAnsi"/>
                <w:b/>
                <w:sz w:val="20"/>
                <w:szCs w:val="20"/>
              </w:rPr>
            </w:pPr>
          </w:p>
        </w:tc>
        <w:tc>
          <w:tcPr>
            <w:tcW w:w="771" w:type="dxa"/>
            <w:shd w:val="clear" w:color="auto" w:fill="auto"/>
            <w:vAlign w:val="center"/>
          </w:tcPr>
          <w:p w14:paraId="1C2C48C3" w14:textId="77777777" w:rsidR="009B47DF" w:rsidRDefault="003B46EC" w:rsidP="001F4962">
            <w:pPr>
              <w:spacing w:before="60" w:after="60"/>
              <w:jc w:val="center"/>
              <w:rPr>
                <w:rFonts w:asciiTheme="minorHAnsi" w:hAnsiTheme="minorHAnsi" w:cstheme="minorHAnsi"/>
                <w:b/>
                <w:sz w:val="20"/>
                <w:szCs w:val="20"/>
              </w:rPr>
            </w:pPr>
            <w:proofErr w:type="spellStart"/>
            <w:r>
              <w:rPr>
                <w:rFonts w:asciiTheme="minorHAnsi" w:hAnsiTheme="minorHAnsi" w:cstheme="minorHAnsi"/>
                <w:b/>
                <w:sz w:val="20"/>
                <w:szCs w:val="20"/>
              </w:rPr>
              <w:t>MRiT</w:t>
            </w:r>
            <w:proofErr w:type="spellEnd"/>
          </w:p>
        </w:tc>
        <w:tc>
          <w:tcPr>
            <w:tcW w:w="1318" w:type="dxa"/>
            <w:shd w:val="clear" w:color="auto" w:fill="auto"/>
          </w:tcPr>
          <w:p w14:paraId="69F026D2" w14:textId="77777777" w:rsidR="003B46EC" w:rsidRPr="003B46EC" w:rsidRDefault="003B46EC" w:rsidP="003B46EC">
            <w:pPr>
              <w:rPr>
                <w:rFonts w:asciiTheme="minorHAnsi" w:hAnsiTheme="minorHAnsi" w:cstheme="minorHAnsi"/>
                <w:sz w:val="20"/>
                <w:szCs w:val="20"/>
              </w:rPr>
            </w:pPr>
            <w:r w:rsidRPr="003B46EC">
              <w:rPr>
                <w:rFonts w:asciiTheme="minorHAnsi" w:hAnsiTheme="minorHAnsi" w:cstheme="minorHAnsi"/>
                <w:sz w:val="20"/>
                <w:szCs w:val="20"/>
              </w:rPr>
              <w:t>Tabela 12: Warunki podstawowe</w:t>
            </w:r>
          </w:p>
          <w:p w14:paraId="3D0E3928" w14:textId="77777777" w:rsidR="009B47DF" w:rsidRPr="004E0927" w:rsidRDefault="003B46EC" w:rsidP="003B46EC">
            <w:pPr>
              <w:rPr>
                <w:rFonts w:asciiTheme="minorHAnsi" w:hAnsiTheme="minorHAnsi" w:cstheme="minorHAnsi"/>
                <w:sz w:val="20"/>
                <w:szCs w:val="20"/>
              </w:rPr>
            </w:pPr>
            <w:r w:rsidRPr="003B46EC">
              <w:rPr>
                <w:rFonts w:asciiTheme="minorHAnsi" w:hAnsiTheme="minorHAnsi" w:cstheme="minorHAnsi"/>
                <w:sz w:val="20"/>
                <w:szCs w:val="20"/>
              </w:rPr>
              <w:t>str. 189</w:t>
            </w:r>
          </w:p>
        </w:tc>
        <w:tc>
          <w:tcPr>
            <w:tcW w:w="4577" w:type="dxa"/>
            <w:shd w:val="clear" w:color="auto" w:fill="auto"/>
          </w:tcPr>
          <w:p w14:paraId="65B37877" w14:textId="77777777" w:rsidR="003B46EC" w:rsidRPr="003B46EC" w:rsidRDefault="003B46EC" w:rsidP="003B46EC">
            <w:pPr>
              <w:jc w:val="both"/>
              <w:rPr>
                <w:rFonts w:asciiTheme="minorHAnsi" w:hAnsiTheme="minorHAnsi" w:cstheme="minorHAnsi"/>
                <w:sz w:val="20"/>
                <w:szCs w:val="20"/>
              </w:rPr>
            </w:pPr>
            <w:r w:rsidRPr="003B46EC">
              <w:rPr>
                <w:rFonts w:asciiTheme="minorHAnsi" w:hAnsiTheme="minorHAnsi" w:cstheme="minorHAnsi"/>
                <w:sz w:val="20"/>
                <w:szCs w:val="20"/>
              </w:rPr>
              <w:t>Poza ustawami:</w:t>
            </w:r>
          </w:p>
          <w:p w14:paraId="31214B44" w14:textId="77777777" w:rsidR="003B46EC" w:rsidRPr="003B46EC" w:rsidRDefault="003B46EC" w:rsidP="003B46EC">
            <w:pPr>
              <w:jc w:val="both"/>
              <w:rPr>
                <w:rFonts w:asciiTheme="minorHAnsi" w:hAnsiTheme="minorHAnsi" w:cstheme="minorHAnsi"/>
                <w:sz w:val="20"/>
                <w:szCs w:val="20"/>
              </w:rPr>
            </w:pPr>
            <w:r w:rsidRPr="003B46EC">
              <w:rPr>
                <w:rFonts w:asciiTheme="minorHAnsi" w:hAnsiTheme="minorHAnsi" w:cstheme="minorHAnsi"/>
                <w:sz w:val="20"/>
                <w:szCs w:val="20"/>
              </w:rPr>
              <w:t xml:space="preserve">- Ustawa z dnia 20 lutego 2015 r. o odnawialnych źródłach energii </w:t>
            </w:r>
          </w:p>
          <w:p w14:paraId="655147F7" w14:textId="77777777" w:rsidR="003B46EC" w:rsidRPr="003B46EC" w:rsidRDefault="003B46EC" w:rsidP="003B46EC">
            <w:pPr>
              <w:jc w:val="both"/>
              <w:rPr>
                <w:rFonts w:asciiTheme="minorHAnsi" w:hAnsiTheme="minorHAnsi" w:cstheme="minorHAnsi"/>
                <w:sz w:val="20"/>
                <w:szCs w:val="20"/>
              </w:rPr>
            </w:pPr>
            <w:r w:rsidRPr="003B46EC">
              <w:rPr>
                <w:rFonts w:asciiTheme="minorHAnsi" w:hAnsiTheme="minorHAnsi" w:cstheme="minorHAnsi"/>
                <w:sz w:val="20"/>
                <w:szCs w:val="20"/>
              </w:rPr>
              <w:t>http://isap.sejm.gov.pl/isap.nsf/download.xsp/WDU20150000478/U/D20150478Lj.pdf</w:t>
            </w:r>
          </w:p>
          <w:p w14:paraId="7A42CDE1" w14:textId="77777777" w:rsidR="003B46EC" w:rsidRPr="003B46EC" w:rsidRDefault="003B46EC" w:rsidP="003B46EC">
            <w:pPr>
              <w:jc w:val="both"/>
              <w:rPr>
                <w:rFonts w:asciiTheme="minorHAnsi" w:hAnsiTheme="minorHAnsi" w:cstheme="minorHAnsi"/>
                <w:sz w:val="20"/>
                <w:szCs w:val="20"/>
              </w:rPr>
            </w:pPr>
            <w:r w:rsidRPr="003B46EC">
              <w:rPr>
                <w:rFonts w:asciiTheme="minorHAnsi" w:hAnsiTheme="minorHAnsi" w:cstheme="minorHAnsi"/>
                <w:sz w:val="20"/>
                <w:szCs w:val="20"/>
              </w:rPr>
              <w:t>- Ustawa z dnia 17 grudnia 2020 r. o promowaniu wytwarzania energii elektrycznej w morskich farmach wiatrowych (Dz. U. 2021 poz. 234):</w:t>
            </w:r>
          </w:p>
          <w:p w14:paraId="6FE13A4E" w14:textId="77777777" w:rsidR="003B46EC" w:rsidRPr="003B46EC" w:rsidRDefault="003B46EC" w:rsidP="003B46EC">
            <w:pPr>
              <w:jc w:val="both"/>
              <w:rPr>
                <w:rFonts w:asciiTheme="minorHAnsi" w:hAnsiTheme="minorHAnsi" w:cstheme="minorHAnsi"/>
                <w:sz w:val="20"/>
                <w:szCs w:val="20"/>
              </w:rPr>
            </w:pPr>
            <w:r w:rsidRPr="003B46EC">
              <w:rPr>
                <w:rFonts w:asciiTheme="minorHAnsi" w:hAnsiTheme="minorHAnsi" w:cstheme="minorHAnsi"/>
                <w:sz w:val="20"/>
                <w:szCs w:val="20"/>
              </w:rPr>
              <w:t>https://isap.sejm.gov.pl/isap.nsf/download.xsp/WDU20210000234/U/D20210234Lj.pdf</w:t>
            </w:r>
          </w:p>
          <w:p w14:paraId="2E86AF0F" w14:textId="77777777" w:rsidR="003B46EC" w:rsidRPr="003B46EC" w:rsidRDefault="003B46EC" w:rsidP="003B46EC">
            <w:pPr>
              <w:jc w:val="both"/>
              <w:rPr>
                <w:rFonts w:asciiTheme="minorHAnsi" w:hAnsiTheme="minorHAnsi" w:cstheme="minorHAnsi"/>
                <w:sz w:val="20"/>
                <w:szCs w:val="20"/>
              </w:rPr>
            </w:pPr>
            <w:r w:rsidRPr="003B46EC">
              <w:rPr>
                <w:rFonts w:asciiTheme="minorHAnsi" w:hAnsiTheme="minorHAnsi" w:cstheme="minorHAnsi"/>
                <w:sz w:val="20"/>
                <w:szCs w:val="20"/>
              </w:rPr>
              <w:t xml:space="preserve">UZASADNIENIE: </w:t>
            </w:r>
          </w:p>
          <w:p w14:paraId="7FF69B80" w14:textId="77777777" w:rsidR="009B47DF" w:rsidRPr="009B47DF" w:rsidRDefault="003B46EC" w:rsidP="003B46EC">
            <w:pPr>
              <w:jc w:val="both"/>
              <w:rPr>
                <w:rFonts w:asciiTheme="minorHAnsi" w:hAnsiTheme="minorHAnsi" w:cstheme="minorHAnsi"/>
                <w:sz w:val="20"/>
                <w:szCs w:val="20"/>
              </w:rPr>
            </w:pPr>
            <w:r w:rsidRPr="003B46EC">
              <w:rPr>
                <w:rFonts w:asciiTheme="minorHAnsi" w:hAnsiTheme="minorHAnsi" w:cstheme="minorHAnsi"/>
                <w:sz w:val="20"/>
                <w:szCs w:val="20"/>
              </w:rPr>
              <w:t>Celem nowelizacji ustawy o zmianie ustawy z dnia 20 maja 2016 r. o inwestycjach w zakresie elektrowni wiatrowych oraz niektórych innych ustaw (numer projektu - UD 207), którą przygotowało Ministerstwo Rozwoju i Technologii  jest wprowadzenie zmian w zasadach lokalizowania inwestycji w zakresie lądowych elektrowni wiatrowych w gminach, które wyrażają wolę lokowania takiej infrastruktury oraz „odblokowania” rozwoju budownictwa mieszkalnego w sąsiedztwie tych elektrowni przy zachowaniu maksymalnego bezpieczeństwa ich eksploatacji i zapewnieniu pełnej informacji o planowanej inwestycji dla mieszkańców okolicznych terenów. Projektowana reforma ma m.in. na celu zapewnienie rozwoju energetyki wiatrowej na lądzie.</w:t>
            </w:r>
          </w:p>
        </w:tc>
        <w:tc>
          <w:tcPr>
            <w:tcW w:w="4961" w:type="dxa"/>
            <w:shd w:val="clear" w:color="auto" w:fill="auto"/>
          </w:tcPr>
          <w:p w14:paraId="32B88186" w14:textId="77777777" w:rsidR="003B46EC" w:rsidRPr="003B46EC" w:rsidRDefault="003B46EC" w:rsidP="003B46EC">
            <w:pPr>
              <w:jc w:val="both"/>
              <w:rPr>
                <w:rFonts w:asciiTheme="minorHAnsi" w:hAnsiTheme="minorHAnsi" w:cstheme="minorHAnsi"/>
                <w:sz w:val="20"/>
                <w:szCs w:val="20"/>
              </w:rPr>
            </w:pPr>
            <w:r w:rsidRPr="003B46EC">
              <w:rPr>
                <w:rFonts w:asciiTheme="minorHAnsi" w:hAnsiTheme="minorHAnsi" w:cstheme="minorHAnsi"/>
                <w:sz w:val="20"/>
                <w:szCs w:val="20"/>
              </w:rPr>
              <w:t>Prosimy o dopisanie:</w:t>
            </w:r>
          </w:p>
          <w:p w14:paraId="6B4DCD9D" w14:textId="77777777" w:rsidR="00337782" w:rsidRDefault="003B46EC" w:rsidP="003B46EC">
            <w:pPr>
              <w:jc w:val="both"/>
              <w:rPr>
                <w:rFonts w:asciiTheme="minorHAnsi" w:hAnsiTheme="minorHAnsi" w:cstheme="minorHAnsi"/>
                <w:sz w:val="20"/>
                <w:szCs w:val="20"/>
              </w:rPr>
            </w:pPr>
            <w:r w:rsidRPr="003B46EC">
              <w:rPr>
                <w:rFonts w:asciiTheme="minorHAnsi" w:hAnsiTheme="minorHAnsi" w:cstheme="minorHAnsi"/>
                <w:sz w:val="20"/>
                <w:szCs w:val="20"/>
              </w:rPr>
              <w:t>- Ustawa o inwestycjach w zakresie elektrowni wiatrowych (Dz. U. z 2021 r. poz. 724.). https://isap.sejm.gov.pl/isap.nsf/download.xsp/WDU20160000961/U/D20160961Lj.pdf</w:t>
            </w:r>
          </w:p>
          <w:p w14:paraId="22D5FB5F" w14:textId="77777777" w:rsidR="00337782" w:rsidRPr="00337782" w:rsidRDefault="00337782" w:rsidP="00337782">
            <w:pPr>
              <w:rPr>
                <w:rFonts w:asciiTheme="minorHAnsi" w:hAnsiTheme="minorHAnsi" w:cstheme="minorHAnsi"/>
                <w:sz w:val="20"/>
                <w:szCs w:val="20"/>
              </w:rPr>
            </w:pPr>
          </w:p>
          <w:p w14:paraId="06191E64" w14:textId="77777777" w:rsidR="00337782" w:rsidRPr="00337782" w:rsidRDefault="00337782" w:rsidP="00337782">
            <w:pPr>
              <w:rPr>
                <w:rFonts w:asciiTheme="minorHAnsi" w:hAnsiTheme="minorHAnsi" w:cstheme="minorHAnsi"/>
                <w:sz w:val="20"/>
                <w:szCs w:val="20"/>
              </w:rPr>
            </w:pPr>
          </w:p>
          <w:p w14:paraId="0CAFA29F" w14:textId="77777777" w:rsidR="00337782" w:rsidRPr="00337782" w:rsidRDefault="00337782" w:rsidP="00337782">
            <w:pPr>
              <w:rPr>
                <w:rFonts w:asciiTheme="minorHAnsi" w:hAnsiTheme="minorHAnsi" w:cstheme="minorHAnsi"/>
                <w:sz w:val="20"/>
                <w:szCs w:val="20"/>
              </w:rPr>
            </w:pPr>
          </w:p>
          <w:p w14:paraId="48FE5B65" w14:textId="77777777" w:rsidR="009B47DF" w:rsidRPr="00337782" w:rsidRDefault="009B47DF" w:rsidP="00337782">
            <w:pPr>
              <w:rPr>
                <w:rFonts w:asciiTheme="minorHAnsi" w:hAnsiTheme="minorHAnsi" w:cstheme="minorHAnsi"/>
                <w:sz w:val="20"/>
                <w:szCs w:val="20"/>
              </w:rPr>
            </w:pPr>
          </w:p>
        </w:tc>
        <w:tc>
          <w:tcPr>
            <w:tcW w:w="1701" w:type="dxa"/>
          </w:tcPr>
          <w:p w14:paraId="6104FCEB" w14:textId="77777777" w:rsidR="009B47DF" w:rsidRDefault="00337782" w:rsidP="00793878">
            <w:pPr>
              <w:jc w:val="both"/>
              <w:rPr>
                <w:rFonts w:asciiTheme="minorHAnsi" w:hAnsiTheme="minorHAnsi" w:cstheme="minorHAnsi"/>
                <w:sz w:val="20"/>
                <w:szCs w:val="20"/>
              </w:rPr>
            </w:pPr>
            <w:r>
              <w:rPr>
                <w:rFonts w:asciiTheme="minorHAnsi" w:hAnsiTheme="minorHAnsi" w:cstheme="minorHAnsi"/>
                <w:sz w:val="20"/>
                <w:szCs w:val="20"/>
              </w:rPr>
              <w:t>nieuwzględniona</w:t>
            </w:r>
          </w:p>
        </w:tc>
        <w:tc>
          <w:tcPr>
            <w:tcW w:w="1900" w:type="dxa"/>
          </w:tcPr>
          <w:p w14:paraId="1767AB4D" w14:textId="77777777" w:rsidR="009B47DF" w:rsidRDefault="00BE5959" w:rsidP="00066816">
            <w:pPr>
              <w:jc w:val="both"/>
              <w:rPr>
                <w:rFonts w:asciiTheme="minorHAnsi" w:hAnsiTheme="minorHAnsi" w:cstheme="minorHAnsi"/>
                <w:sz w:val="20"/>
                <w:szCs w:val="20"/>
              </w:rPr>
            </w:pPr>
            <w:r>
              <w:rPr>
                <w:rFonts w:asciiTheme="minorHAnsi" w:hAnsiTheme="minorHAnsi" w:cstheme="minorHAnsi"/>
                <w:sz w:val="20"/>
                <w:szCs w:val="20"/>
              </w:rPr>
              <w:t xml:space="preserve">W tabeli wskazano, iż warunek podstawowy jest spełniony, ponieważ obowiązują dwie ustawy. </w:t>
            </w:r>
          </w:p>
          <w:p w14:paraId="7F2359F9" w14:textId="77777777" w:rsidR="00BE5959" w:rsidRDefault="00BE5959" w:rsidP="00066816">
            <w:pPr>
              <w:jc w:val="both"/>
              <w:rPr>
                <w:rFonts w:asciiTheme="minorHAnsi" w:hAnsiTheme="minorHAnsi" w:cstheme="minorHAnsi"/>
                <w:sz w:val="20"/>
                <w:szCs w:val="20"/>
              </w:rPr>
            </w:pPr>
          </w:p>
          <w:p w14:paraId="4A732847" w14:textId="77777777" w:rsidR="00BE5959" w:rsidRDefault="00BE5959" w:rsidP="00B66E0C">
            <w:pPr>
              <w:jc w:val="both"/>
              <w:rPr>
                <w:rFonts w:asciiTheme="minorHAnsi" w:hAnsiTheme="minorHAnsi" w:cstheme="minorHAnsi"/>
                <w:sz w:val="20"/>
                <w:szCs w:val="20"/>
              </w:rPr>
            </w:pPr>
            <w:r>
              <w:rPr>
                <w:rFonts w:asciiTheme="minorHAnsi" w:hAnsiTheme="minorHAnsi" w:cstheme="minorHAnsi"/>
                <w:sz w:val="20"/>
                <w:szCs w:val="20"/>
              </w:rPr>
              <w:t xml:space="preserve">Jedną z nich jest ustawa o OZE, która </w:t>
            </w:r>
            <w:r w:rsidRPr="00337782">
              <w:rPr>
                <w:rFonts w:asciiTheme="minorHAnsi" w:hAnsiTheme="minorHAnsi" w:cstheme="minorHAnsi"/>
                <w:sz w:val="20"/>
                <w:szCs w:val="20"/>
              </w:rPr>
              <w:t>przewiduje szereg mechanizmów wsparcia</w:t>
            </w:r>
            <w:r>
              <w:rPr>
                <w:rFonts w:asciiTheme="minorHAnsi" w:hAnsiTheme="minorHAnsi" w:cstheme="minorHAnsi"/>
                <w:sz w:val="20"/>
                <w:szCs w:val="20"/>
              </w:rPr>
              <w:t>. Są one</w:t>
            </w:r>
            <w:r w:rsidRPr="00337782">
              <w:rPr>
                <w:rFonts w:asciiTheme="minorHAnsi" w:hAnsiTheme="minorHAnsi" w:cstheme="minorHAnsi"/>
                <w:sz w:val="20"/>
                <w:szCs w:val="20"/>
              </w:rPr>
              <w:t xml:space="preserve"> neutralne technologicznie i obejmują m.in. energetykę wiatrową na lądzie</w:t>
            </w:r>
            <w:r>
              <w:rPr>
                <w:rFonts w:asciiTheme="minorHAnsi" w:hAnsiTheme="minorHAnsi" w:cstheme="minorHAnsi"/>
                <w:sz w:val="20"/>
                <w:szCs w:val="20"/>
              </w:rPr>
              <w:t xml:space="preserve"> -  p</w:t>
            </w:r>
            <w:r w:rsidRPr="00337782">
              <w:rPr>
                <w:rFonts w:asciiTheme="minorHAnsi" w:hAnsiTheme="minorHAnsi" w:cstheme="minorHAnsi"/>
                <w:sz w:val="20"/>
                <w:szCs w:val="20"/>
              </w:rPr>
              <w:t>rz</w:t>
            </w:r>
            <w:r>
              <w:rPr>
                <w:rFonts w:asciiTheme="minorHAnsi" w:hAnsiTheme="minorHAnsi" w:cstheme="minorHAnsi"/>
                <w:sz w:val="20"/>
                <w:szCs w:val="20"/>
              </w:rPr>
              <w:t xml:space="preserve">ykładowo system aukcji </w:t>
            </w:r>
            <w:r w:rsidRPr="00337782">
              <w:rPr>
                <w:rFonts w:asciiTheme="minorHAnsi" w:hAnsiTheme="minorHAnsi" w:cstheme="minorHAnsi"/>
                <w:sz w:val="20"/>
                <w:szCs w:val="20"/>
              </w:rPr>
              <w:t xml:space="preserve">dotyczy również energetyki wiatrowej na lądzie. Planowana nowelizacja ustawy o inwestycjach w zakresie elektrowni wiatrowych nie wprowadza nowych zasad wsparcia, ale jedynie daje więcej narzędzi gminom w podejmowaniu decyzji o lokalizowaniu takich inwestycji. Z tego względu </w:t>
            </w:r>
            <w:r w:rsidR="00B66E0C">
              <w:rPr>
                <w:rFonts w:asciiTheme="minorHAnsi" w:hAnsiTheme="minorHAnsi" w:cstheme="minorHAnsi"/>
                <w:sz w:val="20"/>
                <w:szCs w:val="20"/>
              </w:rPr>
              <w:t xml:space="preserve">w opinii </w:t>
            </w:r>
            <w:proofErr w:type="spellStart"/>
            <w:r w:rsidR="00B66E0C">
              <w:rPr>
                <w:rFonts w:asciiTheme="minorHAnsi" w:hAnsiTheme="minorHAnsi" w:cstheme="minorHAnsi"/>
                <w:sz w:val="20"/>
                <w:szCs w:val="20"/>
              </w:rPr>
              <w:t>MFiPR</w:t>
            </w:r>
            <w:proofErr w:type="spellEnd"/>
            <w:r w:rsidR="00B66E0C">
              <w:rPr>
                <w:rFonts w:asciiTheme="minorHAnsi" w:hAnsiTheme="minorHAnsi" w:cstheme="minorHAnsi"/>
                <w:sz w:val="20"/>
                <w:szCs w:val="20"/>
              </w:rPr>
              <w:t xml:space="preserve"> </w:t>
            </w:r>
            <w:r w:rsidRPr="00337782">
              <w:rPr>
                <w:rFonts w:asciiTheme="minorHAnsi" w:hAnsiTheme="minorHAnsi" w:cstheme="minorHAnsi"/>
                <w:sz w:val="20"/>
                <w:szCs w:val="20"/>
              </w:rPr>
              <w:t xml:space="preserve">nie </w:t>
            </w:r>
            <w:r w:rsidR="00B66E0C">
              <w:rPr>
                <w:rFonts w:asciiTheme="minorHAnsi" w:hAnsiTheme="minorHAnsi" w:cstheme="minorHAnsi"/>
                <w:sz w:val="20"/>
                <w:szCs w:val="20"/>
              </w:rPr>
              <w:t>jest konieczne uwzględnienie</w:t>
            </w:r>
            <w:r w:rsidRPr="00337782">
              <w:rPr>
                <w:rFonts w:asciiTheme="minorHAnsi" w:hAnsiTheme="minorHAnsi" w:cstheme="minorHAnsi"/>
                <w:sz w:val="20"/>
                <w:szCs w:val="20"/>
              </w:rPr>
              <w:t xml:space="preserve"> w opisie </w:t>
            </w:r>
            <w:r w:rsidR="00B66E0C">
              <w:rPr>
                <w:rFonts w:asciiTheme="minorHAnsi" w:hAnsiTheme="minorHAnsi" w:cstheme="minorHAnsi"/>
                <w:sz w:val="20"/>
                <w:szCs w:val="20"/>
              </w:rPr>
              <w:t xml:space="preserve">tego </w:t>
            </w:r>
            <w:r w:rsidRPr="00337782">
              <w:rPr>
                <w:rFonts w:asciiTheme="minorHAnsi" w:hAnsiTheme="minorHAnsi" w:cstheme="minorHAnsi"/>
                <w:sz w:val="20"/>
                <w:szCs w:val="20"/>
              </w:rPr>
              <w:t xml:space="preserve">warunku </w:t>
            </w:r>
            <w:r w:rsidR="00B66E0C">
              <w:rPr>
                <w:rFonts w:asciiTheme="minorHAnsi" w:hAnsiTheme="minorHAnsi" w:cstheme="minorHAnsi"/>
                <w:sz w:val="20"/>
                <w:szCs w:val="20"/>
              </w:rPr>
              <w:lastRenderedPageBreak/>
              <w:t>proponowanego</w:t>
            </w:r>
            <w:r w:rsidRPr="00337782">
              <w:rPr>
                <w:rFonts w:asciiTheme="minorHAnsi" w:hAnsiTheme="minorHAnsi" w:cstheme="minorHAnsi"/>
                <w:sz w:val="20"/>
                <w:szCs w:val="20"/>
              </w:rPr>
              <w:t xml:space="preserve"> aktu prawnego</w:t>
            </w:r>
            <w:r w:rsidR="00B66E0C">
              <w:rPr>
                <w:rFonts w:asciiTheme="minorHAnsi" w:hAnsiTheme="minorHAnsi" w:cstheme="minorHAnsi"/>
                <w:sz w:val="20"/>
                <w:szCs w:val="20"/>
              </w:rPr>
              <w:t>.</w:t>
            </w:r>
          </w:p>
          <w:p w14:paraId="0A3F9DB8" w14:textId="77777777" w:rsidR="00D42B94" w:rsidRDefault="00D42B94" w:rsidP="00B66E0C">
            <w:pPr>
              <w:jc w:val="both"/>
              <w:rPr>
                <w:rFonts w:asciiTheme="minorHAnsi" w:hAnsiTheme="minorHAnsi" w:cstheme="minorHAnsi"/>
                <w:sz w:val="20"/>
                <w:szCs w:val="20"/>
              </w:rPr>
            </w:pPr>
          </w:p>
        </w:tc>
      </w:tr>
      <w:tr w:rsidR="003B46EC" w:rsidRPr="004E0927" w14:paraId="0358A082" w14:textId="77777777" w:rsidTr="003A0B1E">
        <w:tc>
          <w:tcPr>
            <w:tcW w:w="533" w:type="dxa"/>
            <w:shd w:val="clear" w:color="auto" w:fill="auto"/>
            <w:vAlign w:val="center"/>
          </w:tcPr>
          <w:p w14:paraId="1C0D6B07" w14:textId="77777777" w:rsidR="003B46EC" w:rsidRPr="004E0927" w:rsidRDefault="003B46EC" w:rsidP="00C35D49">
            <w:pPr>
              <w:pStyle w:val="Akapitzlist"/>
              <w:numPr>
                <w:ilvl w:val="0"/>
                <w:numId w:val="3"/>
              </w:numPr>
              <w:spacing w:before="120" w:after="120"/>
              <w:ind w:left="357" w:hanging="357"/>
              <w:jc w:val="center"/>
              <w:rPr>
                <w:rFonts w:asciiTheme="minorHAnsi" w:hAnsiTheme="minorHAnsi" w:cstheme="minorHAnsi"/>
                <w:b/>
                <w:sz w:val="20"/>
                <w:szCs w:val="20"/>
              </w:rPr>
            </w:pPr>
          </w:p>
        </w:tc>
        <w:tc>
          <w:tcPr>
            <w:tcW w:w="771" w:type="dxa"/>
            <w:shd w:val="clear" w:color="auto" w:fill="auto"/>
            <w:vAlign w:val="center"/>
          </w:tcPr>
          <w:p w14:paraId="49CFB44C" w14:textId="77777777" w:rsidR="003B46EC" w:rsidRDefault="003B46EC" w:rsidP="001F4962">
            <w:pPr>
              <w:spacing w:before="60" w:after="60"/>
              <w:jc w:val="center"/>
              <w:rPr>
                <w:rFonts w:asciiTheme="minorHAnsi" w:hAnsiTheme="minorHAnsi" w:cstheme="minorHAnsi"/>
                <w:b/>
                <w:sz w:val="20"/>
                <w:szCs w:val="20"/>
              </w:rPr>
            </w:pPr>
            <w:proofErr w:type="spellStart"/>
            <w:r>
              <w:rPr>
                <w:rFonts w:asciiTheme="minorHAnsi" w:hAnsiTheme="minorHAnsi" w:cstheme="minorHAnsi"/>
                <w:b/>
                <w:sz w:val="20"/>
                <w:szCs w:val="20"/>
              </w:rPr>
              <w:t>MRiT</w:t>
            </w:r>
            <w:proofErr w:type="spellEnd"/>
          </w:p>
        </w:tc>
        <w:tc>
          <w:tcPr>
            <w:tcW w:w="1318" w:type="dxa"/>
            <w:shd w:val="clear" w:color="auto" w:fill="auto"/>
          </w:tcPr>
          <w:p w14:paraId="4044AFC3" w14:textId="77777777" w:rsidR="003B46EC" w:rsidRPr="003B46EC" w:rsidRDefault="003B46EC" w:rsidP="003B46EC">
            <w:pPr>
              <w:rPr>
                <w:rFonts w:asciiTheme="minorHAnsi" w:hAnsiTheme="minorHAnsi" w:cstheme="minorHAnsi"/>
                <w:sz w:val="20"/>
                <w:szCs w:val="20"/>
              </w:rPr>
            </w:pPr>
            <w:r w:rsidRPr="003B46EC">
              <w:rPr>
                <w:rFonts w:asciiTheme="minorHAnsi" w:hAnsiTheme="minorHAnsi" w:cstheme="minorHAnsi"/>
                <w:sz w:val="20"/>
                <w:szCs w:val="20"/>
              </w:rPr>
              <w:t>Tabela 12: Warunki podstawowe</w:t>
            </w:r>
          </w:p>
          <w:p w14:paraId="261791C0" w14:textId="77777777" w:rsidR="003B46EC" w:rsidRPr="004E0927" w:rsidRDefault="003B46EC" w:rsidP="003B46EC">
            <w:pPr>
              <w:rPr>
                <w:rFonts w:asciiTheme="minorHAnsi" w:hAnsiTheme="minorHAnsi" w:cstheme="minorHAnsi"/>
                <w:sz w:val="20"/>
                <w:szCs w:val="20"/>
              </w:rPr>
            </w:pPr>
            <w:r w:rsidRPr="003B46EC">
              <w:rPr>
                <w:rFonts w:asciiTheme="minorHAnsi" w:hAnsiTheme="minorHAnsi" w:cstheme="minorHAnsi"/>
                <w:sz w:val="20"/>
                <w:szCs w:val="20"/>
              </w:rPr>
              <w:t>str. 189</w:t>
            </w:r>
          </w:p>
        </w:tc>
        <w:tc>
          <w:tcPr>
            <w:tcW w:w="4577" w:type="dxa"/>
            <w:shd w:val="clear" w:color="auto" w:fill="auto"/>
          </w:tcPr>
          <w:p w14:paraId="713F3848" w14:textId="77777777" w:rsidR="003B46EC" w:rsidRPr="009B47DF" w:rsidRDefault="00882A93" w:rsidP="003B46EC">
            <w:pPr>
              <w:jc w:val="both"/>
              <w:rPr>
                <w:rFonts w:asciiTheme="minorHAnsi" w:hAnsiTheme="minorHAnsi" w:cstheme="minorHAnsi"/>
                <w:sz w:val="20"/>
                <w:szCs w:val="20"/>
              </w:rPr>
            </w:pPr>
            <w:r w:rsidRPr="00882A93">
              <w:rPr>
                <w:rFonts w:asciiTheme="minorHAnsi" w:hAnsiTheme="minorHAnsi" w:cstheme="minorHAnsi"/>
                <w:sz w:val="20"/>
                <w:szCs w:val="20"/>
              </w:rPr>
              <w:t>Wnioskujemy o rozszerzenie instrumentów służących osiągnięciu celu OZE.</w:t>
            </w:r>
          </w:p>
        </w:tc>
        <w:tc>
          <w:tcPr>
            <w:tcW w:w="4961" w:type="dxa"/>
            <w:shd w:val="clear" w:color="auto" w:fill="auto"/>
          </w:tcPr>
          <w:p w14:paraId="215F1194" w14:textId="77777777" w:rsidR="00882A93" w:rsidRPr="00882A93" w:rsidRDefault="00882A93" w:rsidP="00882A93">
            <w:pPr>
              <w:jc w:val="both"/>
              <w:rPr>
                <w:rFonts w:asciiTheme="minorHAnsi" w:hAnsiTheme="minorHAnsi" w:cstheme="minorHAnsi"/>
                <w:sz w:val="20"/>
                <w:szCs w:val="20"/>
              </w:rPr>
            </w:pPr>
            <w:r w:rsidRPr="00882A93">
              <w:rPr>
                <w:rFonts w:asciiTheme="minorHAnsi" w:hAnsiTheme="minorHAnsi" w:cstheme="minorHAnsi"/>
                <w:sz w:val="20"/>
                <w:szCs w:val="20"/>
              </w:rPr>
              <w:t xml:space="preserve">Prosimy o dopisanie dwóch </w:t>
            </w:r>
            <w:proofErr w:type="spellStart"/>
            <w:r w:rsidRPr="00882A93">
              <w:rPr>
                <w:rFonts w:asciiTheme="minorHAnsi" w:hAnsiTheme="minorHAnsi" w:cstheme="minorHAnsi"/>
                <w:sz w:val="20"/>
                <w:szCs w:val="20"/>
              </w:rPr>
              <w:t>tiretów</w:t>
            </w:r>
            <w:proofErr w:type="spellEnd"/>
            <w:r w:rsidRPr="00882A93">
              <w:rPr>
                <w:rFonts w:asciiTheme="minorHAnsi" w:hAnsiTheme="minorHAnsi" w:cstheme="minorHAnsi"/>
                <w:sz w:val="20"/>
                <w:szCs w:val="20"/>
              </w:rPr>
              <w:t>:</w:t>
            </w:r>
          </w:p>
          <w:p w14:paraId="57321223" w14:textId="77777777" w:rsidR="00337782" w:rsidRPr="00337782" w:rsidRDefault="00882A93" w:rsidP="00337782">
            <w:pPr>
              <w:pStyle w:val="Akapitzlist"/>
              <w:numPr>
                <w:ilvl w:val="0"/>
                <w:numId w:val="1"/>
              </w:numPr>
              <w:ind w:left="302"/>
              <w:jc w:val="both"/>
              <w:rPr>
                <w:rFonts w:asciiTheme="minorHAnsi" w:hAnsiTheme="minorHAnsi" w:cstheme="minorHAnsi"/>
                <w:sz w:val="20"/>
                <w:szCs w:val="20"/>
              </w:rPr>
            </w:pPr>
            <w:r w:rsidRPr="00337782">
              <w:rPr>
                <w:rFonts w:asciiTheme="minorHAnsi" w:hAnsiTheme="minorHAnsi" w:cstheme="minorHAnsi"/>
                <w:sz w:val="20"/>
                <w:szCs w:val="20"/>
              </w:rPr>
              <w:t xml:space="preserve">Rozwój energetyki wiatrowej dzięki nowelizacji ustawy o zmianie ustawy z dnia 20 maja 2016 r. o inwestycjach w zakresie elektrowni wiatrowych oraz niektórych innych ustaw , co zapewni rozwój inwestycji typu </w:t>
            </w:r>
            <w:proofErr w:type="spellStart"/>
            <w:r w:rsidRPr="00337782">
              <w:rPr>
                <w:rFonts w:asciiTheme="minorHAnsi" w:hAnsiTheme="minorHAnsi" w:cstheme="minorHAnsi"/>
                <w:sz w:val="20"/>
                <w:szCs w:val="20"/>
              </w:rPr>
              <w:t>onshore</w:t>
            </w:r>
            <w:proofErr w:type="spellEnd"/>
            <w:r w:rsidRPr="00337782">
              <w:rPr>
                <w:rFonts w:asciiTheme="minorHAnsi" w:hAnsiTheme="minorHAnsi" w:cstheme="minorHAnsi"/>
                <w:sz w:val="20"/>
                <w:szCs w:val="20"/>
              </w:rPr>
              <w:t>.</w:t>
            </w:r>
          </w:p>
          <w:p w14:paraId="36EEAB79" w14:textId="77777777" w:rsidR="003B46EC" w:rsidRPr="00337782" w:rsidRDefault="00882A93" w:rsidP="00337782">
            <w:pPr>
              <w:pStyle w:val="Akapitzlist"/>
              <w:numPr>
                <w:ilvl w:val="0"/>
                <w:numId w:val="1"/>
              </w:numPr>
              <w:ind w:left="302"/>
              <w:jc w:val="both"/>
              <w:rPr>
                <w:rFonts w:asciiTheme="minorHAnsi" w:hAnsiTheme="minorHAnsi" w:cstheme="minorHAnsi"/>
                <w:sz w:val="20"/>
                <w:szCs w:val="20"/>
              </w:rPr>
            </w:pPr>
            <w:r w:rsidRPr="00337782">
              <w:rPr>
                <w:rFonts w:asciiTheme="minorHAnsi" w:hAnsiTheme="minorHAnsi" w:cstheme="minorHAnsi"/>
                <w:sz w:val="20"/>
                <w:szCs w:val="20"/>
              </w:rPr>
              <w:t>Przeprowadzenie przynajmniej jednej aukcji dla nowych mocy w energetyce wiatrowej na lądzie.</w:t>
            </w:r>
          </w:p>
        </w:tc>
        <w:tc>
          <w:tcPr>
            <w:tcW w:w="1701" w:type="dxa"/>
          </w:tcPr>
          <w:p w14:paraId="7D3503DD" w14:textId="77777777" w:rsidR="003B46EC" w:rsidRDefault="00337782" w:rsidP="00793878">
            <w:pPr>
              <w:jc w:val="both"/>
              <w:rPr>
                <w:rFonts w:asciiTheme="minorHAnsi" w:hAnsiTheme="minorHAnsi" w:cstheme="minorHAnsi"/>
                <w:sz w:val="20"/>
                <w:szCs w:val="20"/>
              </w:rPr>
            </w:pPr>
            <w:r>
              <w:rPr>
                <w:rFonts w:asciiTheme="minorHAnsi" w:hAnsiTheme="minorHAnsi" w:cstheme="minorHAnsi"/>
                <w:sz w:val="20"/>
                <w:szCs w:val="20"/>
              </w:rPr>
              <w:t>nieuwzględniona</w:t>
            </w:r>
          </w:p>
        </w:tc>
        <w:tc>
          <w:tcPr>
            <w:tcW w:w="1900" w:type="dxa"/>
          </w:tcPr>
          <w:p w14:paraId="75E23D5A" w14:textId="5AEE099B" w:rsidR="003B46EC" w:rsidRDefault="00B66E0C" w:rsidP="00066816">
            <w:pPr>
              <w:jc w:val="both"/>
              <w:rPr>
                <w:rFonts w:asciiTheme="minorHAnsi" w:hAnsiTheme="minorHAnsi" w:cstheme="minorHAnsi"/>
                <w:sz w:val="20"/>
                <w:szCs w:val="20"/>
              </w:rPr>
            </w:pPr>
            <w:r>
              <w:rPr>
                <w:rFonts w:asciiTheme="minorHAnsi" w:hAnsiTheme="minorHAnsi" w:cstheme="minorHAnsi"/>
                <w:sz w:val="20"/>
                <w:szCs w:val="20"/>
              </w:rPr>
              <w:t xml:space="preserve">Uzasadnienie jak </w:t>
            </w:r>
            <w:r w:rsidR="00D42B94">
              <w:rPr>
                <w:rFonts w:asciiTheme="minorHAnsi" w:hAnsiTheme="minorHAnsi" w:cstheme="minorHAnsi"/>
                <w:sz w:val="20"/>
                <w:szCs w:val="20"/>
              </w:rPr>
              <w:t>w pkt 28 tabeli.</w:t>
            </w:r>
          </w:p>
        </w:tc>
      </w:tr>
      <w:tr w:rsidR="003B46EC" w:rsidRPr="004E0927" w14:paraId="06339D6D" w14:textId="77777777" w:rsidTr="003A0B1E">
        <w:tc>
          <w:tcPr>
            <w:tcW w:w="533" w:type="dxa"/>
            <w:shd w:val="clear" w:color="auto" w:fill="auto"/>
            <w:vAlign w:val="center"/>
          </w:tcPr>
          <w:p w14:paraId="7A12439C" w14:textId="77777777" w:rsidR="003B46EC" w:rsidRPr="004E0927" w:rsidRDefault="003B46EC" w:rsidP="00C35D49">
            <w:pPr>
              <w:pStyle w:val="Akapitzlist"/>
              <w:numPr>
                <w:ilvl w:val="0"/>
                <w:numId w:val="3"/>
              </w:numPr>
              <w:spacing w:before="120" w:after="120"/>
              <w:ind w:left="357" w:hanging="357"/>
              <w:jc w:val="center"/>
              <w:rPr>
                <w:rFonts w:asciiTheme="minorHAnsi" w:hAnsiTheme="minorHAnsi" w:cstheme="minorHAnsi"/>
                <w:b/>
                <w:sz w:val="20"/>
                <w:szCs w:val="20"/>
              </w:rPr>
            </w:pPr>
          </w:p>
        </w:tc>
        <w:tc>
          <w:tcPr>
            <w:tcW w:w="771" w:type="dxa"/>
            <w:shd w:val="clear" w:color="auto" w:fill="auto"/>
            <w:vAlign w:val="center"/>
          </w:tcPr>
          <w:p w14:paraId="29B8B434" w14:textId="77777777" w:rsidR="003B46EC" w:rsidRDefault="003B46EC" w:rsidP="001F4962">
            <w:pPr>
              <w:spacing w:before="60" w:after="60"/>
              <w:jc w:val="center"/>
              <w:rPr>
                <w:rFonts w:asciiTheme="minorHAnsi" w:hAnsiTheme="minorHAnsi" w:cstheme="minorHAnsi"/>
                <w:b/>
                <w:sz w:val="20"/>
                <w:szCs w:val="20"/>
              </w:rPr>
            </w:pPr>
            <w:proofErr w:type="spellStart"/>
            <w:r>
              <w:rPr>
                <w:rFonts w:asciiTheme="minorHAnsi" w:hAnsiTheme="minorHAnsi" w:cstheme="minorHAnsi"/>
                <w:b/>
                <w:sz w:val="20"/>
                <w:szCs w:val="20"/>
              </w:rPr>
              <w:t>MRiT</w:t>
            </w:r>
            <w:proofErr w:type="spellEnd"/>
          </w:p>
        </w:tc>
        <w:tc>
          <w:tcPr>
            <w:tcW w:w="1318" w:type="dxa"/>
            <w:shd w:val="clear" w:color="auto" w:fill="auto"/>
          </w:tcPr>
          <w:p w14:paraId="2DE60489" w14:textId="77777777" w:rsidR="003B46EC" w:rsidRPr="004E0927" w:rsidRDefault="003B46EC" w:rsidP="003B46EC">
            <w:pPr>
              <w:rPr>
                <w:rFonts w:asciiTheme="minorHAnsi" w:hAnsiTheme="minorHAnsi" w:cstheme="minorHAnsi"/>
                <w:sz w:val="20"/>
                <w:szCs w:val="20"/>
              </w:rPr>
            </w:pPr>
            <w:r w:rsidRPr="003B46EC">
              <w:rPr>
                <w:rFonts w:asciiTheme="minorHAnsi" w:hAnsiTheme="minorHAnsi" w:cstheme="minorHAnsi"/>
                <w:sz w:val="20"/>
                <w:szCs w:val="20"/>
              </w:rPr>
              <w:t>Załącznik nr 1 „Uwarunkowania na poziomie krajowym (diagnoza)”</w:t>
            </w:r>
            <w:r>
              <w:rPr>
                <w:rFonts w:asciiTheme="minorHAnsi" w:hAnsiTheme="minorHAnsi" w:cstheme="minorHAnsi"/>
                <w:sz w:val="20"/>
                <w:szCs w:val="20"/>
              </w:rPr>
              <w:t xml:space="preserve">, </w:t>
            </w:r>
            <w:r w:rsidRPr="003B46EC">
              <w:rPr>
                <w:rFonts w:asciiTheme="minorHAnsi" w:hAnsiTheme="minorHAnsi" w:cstheme="minorHAnsi"/>
                <w:sz w:val="20"/>
                <w:szCs w:val="20"/>
              </w:rPr>
              <w:t>str. 6</w:t>
            </w:r>
          </w:p>
        </w:tc>
        <w:tc>
          <w:tcPr>
            <w:tcW w:w="4577" w:type="dxa"/>
            <w:shd w:val="clear" w:color="auto" w:fill="auto"/>
          </w:tcPr>
          <w:p w14:paraId="6C48C6D8" w14:textId="77777777" w:rsidR="003B46EC" w:rsidRPr="009B47DF" w:rsidRDefault="005E10B6" w:rsidP="00793878">
            <w:pPr>
              <w:jc w:val="both"/>
              <w:rPr>
                <w:rFonts w:asciiTheme="minorHAnsi" w:hAnsiTheme="minorHAnsi" w:cstheme="minorHAnsi"/>
                <w:sz w:val="20"/>
                <w:szCs w:val="20"/>
              </w:rPr>
            </w:pPr>
            <w:r>
              <w:rPr>
                <w:rFonts w:asciiTheme="minorHAnsi" w:hAnsiTheme="minorHAnsi" w:cstheme="minorHAnsi"/>
                <w:sz w:val="20"/>
                <w:szCs w:val="20"/>
              </w:rPr>
              <w:t xml:space="preserve"> </w:t>
            </w:r>
          </w:p>
        </w:tc>
        <w:tc>
          <w:tcPr>
            <w:tcW w:w="4961" w:type="dxa"/>
            <w:shd w:val="clear" w:color="auto" w:fill="auto"/>
          </w:tcPr>
          <w:p w14:paraId="3F014CD2" w14:textId="77777777" w:rsidR="003B46EC" w:rsidRDefault="005E10B6" w:rsidP="00793878">
            <w:pPr>
              <w:jc w:val="both"/>
              <w:rPr>
                <w:rFonts w:asciiTheme="minorHAnsi" w:hAnsiTheme="minorHAnsi" w:cstheme="minorHAnsi"/>
                <w:sz w:val="20"/>
                <w:szCs w:val="20"/>
              </w:rPr>
            </w:pPr>
            <w:r w:rsidRPr="005E10B6">
              <w:rPr>
                <w:rFonts w:asciiTheme="minorHAnsi" w:hAnsiTheme="minorHAnsi" w:cstheme="minorHAnsi"/>
                <w:sz w:val="20"/>
                <w:szCs w:val="20"/>
              </w:rPr>
              <w:t>Prośba ew. o dodanie przypisu do źródeł danych do fragmentu: "Wielkość polskich SKK, w zależności od metodologii badawczej, szacuje się od 21,8 mld zł do 30 mld zł wartości dodanej, co stanowi ok. 2% wartości dodanej wytwarzanej przez wszystkie przedsiębiorstwa niefinansowe.  Wartość dodana dla gospodarki wytworzona w małych, średnich i dużych przedsiębiorstwach SKK była wyższa od średniej wartości dodanej wytwarzanej przez przedsiębiorstwa niefinansowe w odpowiednich klasach ogółem."</w:t>
            </w:r>
          </w:p>
          <w:p w14:paraId="2FECF3F9" w14:textId="77777777" w:rsidR="005E10B6" w:rsidRDefault="005E10B6" w:rsidP="00793878">
            <w:pPr>
              <w:jc w:val="both"/>
              <w:rPr>
                <w:rFonts w:asciiTheme="minorHAnsi" w:hAnsiTheme="minorHAnsi" w:cstheme="minorHAnsi"/>
                <w:sz w:val="20"/>
                <w:szCs w:val="20"/>
              </w:rPr>
            </w:pPr>
          </w:p>
          <w:p w14:paraId="78F3789D" w14:textId="77777777" w:rsidR="005E10B6" w:rsidRDefault="005E10B6" w:rsidP="005E10B6">
            <w:pPr>
              <w:jc w:val="both"/>
              <w:rPr>
                <w:rFonts w:asciiTheme="minorHAnsi" w:hAnsiTheme="minorHAnsi" w:cstheme="minorHAnsi"/>
                <w:sz w:val="20"/>
                <w:szCs w:val="20"/>
              </w:rPr>
            </w:pPr>
            <w:r w:rsidRPr="005E10B6">
              <w:rPr>
                <w:rFonts w:asciiTheme="minorHAnsi" w:hAnsiTheme="minorHAnsi" w:cstheme="minorHAnsi"/>
                <w:sz w:val="20"/>
                <w:szCs w:val="20"/>
              </w:rPr>
              <w:t>W informacji sygnalnej GUS pt. "Przemysły</w:t>
            </w:r>
            <w:r>
              <w:rPr>
                <w:rFonts w:asciiTheme="minorHAnsi" w:hAnsiTheme="minorHAnsi" w:cstheme="minorHAnsi"/>
                <w:sz w:val="20"/>
                <w:szCs w:val="20"/>
              </w:rPr>
              <w:t xml:space="preserve"> </w:t>
            </w:r>
            <w:r w:rsidRPr="005E10B6">
              <w:rPr>
                <w:rFonts w:asciiTheme="minorHAnsi" w:hAnsiTheme="minorHAnsi" w:cstheme="minorHAnsi"/>
                <w:sz w:val="20"/>
                <w:szCs w:val="20"/>
              </w:rPr>
              <w:t>kultury i kreatywne w 2019 r." jest mowa o 26,9</w:t>
            </w:r>
            <w:r>
              <w:rPr>
                <w:rFonts w:asciiTheme="minorHAnsi" w:hAnsiTheme="minorHAnsi" w:cstheme="minorHAnsi"/>
                <w:sz w:val="20"/>
                <w:szCs w:val="20"/>
              </w:rPr>
              <w:t xml:space="preserve"> </w:t>
            </w:r>
            <w:r w:rsidRPr="005E10B6">
              <w:rPr>
                <w:rFonts w:asciiTheme="minorHAnsi" w:hAnsiTheme="minorHAnsi" w:cstheme="minorHAnsi"/>
                <w:sz w:val="20"/>
                <w:szCs w:val="20"/>
              </w:rPr>
              <w:t>mld zł, dlatego warto wskazać, skąd są</w:t>
            </w:r>
            <w:r>
              <w:rPr>
                <w:rFonts w:asciiTheme="minorHAnsi" w:hAnsiTheme="minorHAnsi" w:cstheme="minorHAnsi"/>
                <w:sz w:val="20"/>
                <w:szCs w:val="20"/>
              </w:rPr>
              <w:t xml:space="preserve"> </w:t>
            </w:r>
            <w:r w:rsidRPr="005E10B6">
              <w:rPr>
                <w:rFonts w:asciiTheme="minorHAnsi" w:hAnsiTheme="minorHAnsi" w:cstheme="minorHAnsi"/>
                <w:sz w:val="20"/>
                <w:szCs w:val="20"/>
              </w:rPr>
              <w:t>zaczerpnięte pozostałe przytoczone wartości</w:t>
            </w:r>
            <w:r>
              <w:rPr>
                <w:rFonts w:asciiTheme="minorHAnsi" w:hAnsiTheme="minorHAnsi" w:cstheme="minorHAnsi"/>
                <w:sz w:val="20"/>
                <w:szCs w:val="20"/>
              </w:rPr>
              <w:t xml:space="preserve"> </w:t>
            </w:r>
            <w:r w:rsidRPr="005E10B6">
              <w:rPr>
                <w:rFonts w:asciiTheme="minorHAnsi" w:hAnsiTheme="minorHAnsi" w:cstheme="minorHAnsi"/>
                <w:sz w:val="20"/>
                <w:szCs w:val="20"/>
              </w:rPr>
              <w:t>(21,8 mld zł oraz 30 mld zł).</w:t>
            </w:r>
          </w:p>
          <w:p w14:paraId="30586F93" w14:textId="77777777" w:rsidR="00D42B94" w:rsidRPr="004E0927" w:rsidRDefault="00D42B94" w:rsidP="005E10B6">
            <w:pPr>
              <w:jc w:val="both"/>
              <w:rPr>
                <w:rFonts w:asciiTheme="minorHAnsi" w:hAnsiTheme="minorHAnsi" w:cstheme="minorHAnsi"/>
                <w:sz w:val="20"/>
                <w:szCs w:val="20"/>
              </w:rPr>
            </w:pPr>
          </w:p>
        </w:tc>
        <w:tc>
          <w:tcPr>
            <w:tcW w:w="1701" w:type="dxa"/>
          </w:tcPr>
          <w:p w14:paraId="4BBD2541" w14:textId="77777777" w:rsidR="003B46EC" w:rsidRDefault="005E10B6" w:rsidP="00793878">
            <w:pPr>
              <w:jc w:val="both"/>
              <w:rPr>
                <w:rFonts w:asciiTheme="minorHAnsi" w:hAnsiTheme="minorHAnsi" w:cstheme="minorHAnsi"/>
                <w:sz w:val="20"/>
                <w:szCs w:val="20"/>
              </w:rPr>
            </w:pPr>
            <w:r>
              <w:rPr>
                <w:rFonts w:asciiTheme="minorHAnsi" w:hAnsiTheme="minorHAnsi" w:cstheme="minorHAnsi"/>
                <w:sz w:val="20"/>
                <w:szCs w:val="20"/>
              </w:rPr>
              <w:t>uwzględniona</w:t>
            </w:r>
          </w:p>
        </w:tc>
        <w:tc>
          <w:tcPr>
            <w:tcW w:w="1900" w:type="dxa"/>
          </w:tcPr>
          <w:p w14:paraId="324B1A10" w14:textId="77777777" w:rsidR="003B46EC" w:rsidRDefault="005E10B6" w:rsidP="00066816">
            <w:pPr>
              <w:jc w:val="both"/>
              <w:rPr>
                <w:rFonts w:asciiTheme="minorHAnsi" w:hAnsiTheme="minorHAnsi" w:cstheme="minorHAnsi"/>
                <w:sz w:val="20"/>
                <w:szCs w:val="20"/>
              </w:rPr>
            </w:pPr>
            <w:r w:rsidRPr="005E10B6">
              <w:rPr>
                <w:rFonts w:asciiTheme="minorHAnsi" w:hAnsiTheme="minorHAnsi" w:cstheme="minorHAnsi"/>
                <w:sz w:val="20"/>
                <w:szCs w:val="20"/>
              </w:rPr>
              <w:t>W Zał. 1 do FENG (Diagnoza) zamieszczono przypisy, wskazujące na źródła danych dotyczących sektorów kultury i kreatywnego.</w:t>
            </w:r>
          </w:p>
        </w:tc>
      </w:tr>
      <w:tr w:rsidR="00A87FF2" w:rsidRPr="004E0927" w14:paraId="4C59C91C" w14:textId="77777777" w:rsidTr="003A0B1E">
        <w:tc>
          <w:tcPr>
            <w:tcW w:w="533" w:type="dxa"/>
            <w:shd w:val="clear" w:color="auto" w:fill="auto"/>
            <w:vAlign w:val="center"/>
          </w:tcPr>
          <w:p w14:paraId="4F767B53" w14:textId="77777777" w:rsidR="00A87FF2" w:rsidRPr="004E0927" w:rsidRDefault="00A87FF2" w:rsidP="00A87FF2">
            <w:pPr>
              <w:pStyle w:val="Akapitzlist"/>
              <w:numPr>
                <w:ilvl w:val="0"/>
                <w:numId w:val="3"/>
              </w:numPr>
              <w:spacing w:before="120" w:after="120"/>
              <w:ind w:left="357" w:hanging="357"/>
              <w:jc w:val="center"/>
              <w:rPr>
                <w:rFonts w:asciiTheme="minorHAnsi" w:hAnsiTheme="minorHAnsi" w:cstheme="minorHAnsi"/>
                <w:b/>
                <w:sz w:val="20"/>
                <w:szCs w:val="20"/>
              </w:rPr>
            </w:pPr>
          </w:p>
        </w:tc>
        <w:tc>
          <w:tcPr>
            <w:tcW w:w="771" w:type="dxa"/>
            <w:shd w:val="clear" w:color="auto" w:fill="auto"/>
            <w:vAlign w:val="center"/>
          </w:tcPr>
          <w:p w14:paraId="0F66105F" w14:textId="6770C2DC" w:rsidR="00A87FF2" w:rsidRPr="00D32135" w:rsidRDefault="00A87FF2" w:rsidP="001F4962">
            <w:pPr>
              <w:spacing w:before="60" w:after="60"/>
              <w:jc w:val="center"/>
              <w:rPr>
                <w:rFonts w:ascii="Calibri" w:hAnsi="Calibri" w:cs="Calibri"/>
                <w:b/>
                <w:sz w:val="20"/>
                <w:szCs w:val="20"/>
              </w:rPr>
            </w:pPr>
            <w:r w:rsidRPr="00D32135">
              <w:rPr>
                <w:rFonts w:ascii="Calibri" w:hAnsi="Calibri" w:cs="Calibri"/>
                <w:b/>
                <w:sz w:val="20"/>
                <w:szCs w:val="20"/>
              </w:rPr>
              <w:t>MC</w:t>
            </w:r>
          </w:p>
        </w:tc>
        <w:tc>
          <w:tcPr>
            <w:tcW w:w="1318" w:type="dxa"/>
            <w:shd w:val="clear" w:color="auto" w:fill="auto"/>
          </w:tcPr>
          <w:p w14:paraId="598ED198" w14:textId="6BF054FA" w:rsidR="00A87FF2" w:rsidRPr="00D32135" w:rsidRDefault="00A87FF2" w:rsidP="00A87FF2">
            <w:pPr>
              <w:rPr>
                <w:rFonts w:ascii="Calibri" w:hAnsi="Calibri" w:cs="Calibri"/>
                <w:sz w:val="20"/>
                <w:szCs w:val="20"/>
              </w:rPr>
            </w:pPr>
            <w:r w:rsidRPr="00D32135">
              <w:rPr>
                <w:rFonts w:ascii="Calibri" w:hAnsi="Calibri" w:cs="Calibri"/>
                <w:sz w:val="20"/>
                <w:szCs w:val="20"/>
              </w:rPr>
              <w:t>ogólna</w:t>
            </w:r>
          </w:p>
        </w:tc>
        <w:tc>
          <w:tcPr>
            <w:tcW w:w="4577" w:type="dxa"/>
            <w:shd w:val="clear" w:color="auto" w:fill="auto"/>
          </w:tcPr>
          <w:p w14:paraId="7DF8D99A" w14:textId="77777777" w:rsidR="00A87FF2" w:rsidRPr="00D42B94" w:rsidRDefault="00A87FF2" w:rsidP="00A87FF2">
            <w:pPr>
              <w:jc w:val="both"/>
              <w:rPr>
                <w:rFonts w:ascii="Calibri" w:hAnsi="Calibri" w:cs="Calibri"/>
                <w:b/>
                <w:sz w:val="20"/>
                <w:szCs w:val="20"/>
              </w:rPr>
            </w:pPr>
            <w:r w:rsidRPr="00D42B94">
              <w:rPr>
                <w:rFonts w:ascii="Calibri" w:hAnsi="Calibri" w:cs="Calibri"/>
                <w:b/>
                <w:sz w:val="20"/>
                <w:szCs w:val="20"/>
              </w:rPr>
              <w:t xml:space="preserve">Proponuje się, aby wniosek o uwzględnienie współfinansowania </w:t>
            </w:r>
            <w:proofErr w:type="spellStart"/>
            <w:r w:rsidRPr="00D42B94">
              <w:rPr>
                <w:rFonts w:ascii="Calibri" w:hAnsi="Calibri" w:cs="Calibri"/>
                <w:b/>
                <w:sz w:val="20"/>
                <w:szCs w:val="20"/>
              </w:rPr>
              <w:t>TEFów</w:t>
            </w:r>
            <w:proofErr w:type="spellEnd"/>
            <w:r w:rsidRPr="00D42B94">
              <w:rPr>
                <w:rFonts w:ascii="Calibri" w:hAnsi="Calibri" w:cs="Calibri"/>
                <w:b/>
                <w:sz w:val="20"/>
                <w:szCs w:val="20"/>
              </w:rPr>
              <w:t xml:space="preserve"> (z ang. </w:t>
            </w:r>
            <w:proofErr w:type="spellStart"/>
            <w:r w:rsidRPr="00D42B94">
              <w:rPr>
                <w:rFonts w:ascii="Calibri" w:hAnsi="Calibri" w:cs="Calibri"/>
                <w:b/>
                <w:sz w:val="20"/>
                <w:szCs w:val="20"/>
              </w:rPr>
              <w:t>Testing</w:t>
            </w:r>
            <w:proofErr w:type="spellEnd"/>
            <w:r w:rsidRPr="00D42B94">
              <w:rPr>
                <w:rFonts w:ascii="Calibri" w:hAnsi="Calibri" w:cs="Calibri"/>
                <w:b/>
                <w:sz w:val="20"/>
                <w:szCs w:val="20"/>
              </w:rPr>
              <w:t xml:space="preserve"> and </w:t>
            </w:r>
            <w:proofErr w:type="spellStart"/>
            <w:r w:rsidRPr="00D42B94">
              <w:rPr>
                <w:rFonts w:ascii="Calibri" w:hAnsi="Calibri" w:cs="Calibri"/>
                <w:b/>
                <w:sz w:val="20"/>
                <w:szCs w:val="20"/>
              </w:rPr>
              <w:t>Experimentation</w:t>
            </w:r>
            <w:proofErr w:type="spellEnd"/>
            <w:r w:rsidRPr="00D42B94">
              <w:rPr>
                <w:rFonts w:ascii="Calibri" w:hAnsi="Calibri" w:cs="Calibri"/>
                <w:b/>
                <w:sz w:val="20"/>
                <w:szCs w:val="20"/>
              </w:rPr>
              <w:t xml:space="preserve"> </w:t>
            </w:r>
            <w:proofErr w:type="spellStart"/>
            <w:r w:rsidRPr="00D42B94">
              <w:rPr>
                <w:rFonts w:ascii="Calibri" w:hAnsi="Calibri" w:cs="Calibri"/>
                <w:b/>
                <w:sz w:val="20"/>
                <w:szCs w:val="20"/>
              </w:rPr>
              <w:t>Facility</w:t>
            </w:r>
            <w:proofErr w:type="spellEnd"/>
            <w:r w:rsidRPr="00D42B94">
              <w:rPr>
                <w:rFonts w:ascii="Calibri" w:hAnsi="Calibri" w:cs="Calibri"/>
                <w:b/>
                <w:sz w:val="20"/>
                <w:szCs w:val="20"/>
              </w:rPr>
              <w:t>, dalej TEF) sformułować w treści pisma przewodniego, pozostawiając instytucji wiodącej FENG znalezienie odpowiedniego sposobu uwzględnienia.</w:t>
            </w:r>
          </w:p>
          <w:p w14:paraId="4EC0E09B" w14:textId="77777777" w:rsidR="00A87FF2" w:rsidRPr="00D42B94" w:rsidRDefault="00A87FF2" w:rsidP="00A87FF2">
            <w:pPr>
              <w:jc w:val="both"/>
              <w:rPr>
                <w:rFonts w:ascii="Calibri" w:hAnsi="Calibri" w:cs="Calibri"/>
                <w:sz w:val="20"/>
                <w:szCs w:val="20"/>
              </w:rPr>
            </w:pPr>
            <w:r w:rsidRPr="00D42B94">
              <w:rPr>
                <w:rFonts w:ascii="Calibri" w:hAnsi="Calibri" w:cs="Calibri"/>
                <w:sz w:val="20"/>
                <w:szCs w:val="20"/>
              </w:rPr>
              <w:t xml:space="preserve">W związku z przyjętym przez Komisję Europejską Skoordynowanym Planem dla Sztucznej Inteligencji (AI) oraz w korelacji z polską „Polityką dla rozwoju sztucznej inteligencji w Polsce od roku 2020” przyjętą uchwałą Rady Ministrów nr 196 z dn. 28 grudnia 2020 r. celowe jest zapewnienie w FENG możliwości przeznaczenia środków na pokrycie krajowego </w:t>
            </w:r>
            <w:r w:rsidRPr="00D42B94">
              <w:rPr>
                <w:rFonts w:ascii="Calibri" w:hAnsi="Calibri" w:cs="Calibri"/>
                <w:sz w:val="20"/>
                <w:szCs w:val="20"/>
              </w:rPr>
              <w:lastRenderedPageBreak/>
              <w:t xml:space="preserve">udziału w wysokości 50% do współfinansowania tworzenia Centrów testów i eksperymentowania technologicznego Sztucznej Inteligencji (tzw. TEF AI). Zakładany przez KE koszt jednego centrum to 10 mln euro do 2027 r. Polska wykazuje zdolność organizacyjną i techniczną do założenia centrów w obszarze Edge TEF AI (hardware) dla systemów AI, </w:t>
            </w:r>
            <w:proofErr w:type="spellStart"/>
            <w:r w:rsidRPr="00D42B94">
              <w:rPr>
                <w:rFonts w:ascii="Calibri" w:hAnsi="Calibri" w:cs="Calibri"/>
                <w:sz w:val="20"/>
                <w:szCs w:val="20"/>
              </w:rPr>
              <w:t>Agri</w:t>
            </w:r>
            <w:proofErr w:type="spellEnd"/>
            <w:r w:rsidRPr="00D42B94">
              <w:rPr>
                <w:rFonts w:ascii="Calibri" w:hAnsi="Calibri" w:cs="Calibri"/>
                <w:sz w:val="20"/>
                <w:szCs w:val="20"/>
              </w:rPr>
              <w:t xml:space="preserve">-Food TE (rolnictwo), Manufacturing TEF (przemysł), Smart </w:t>
            </w:r>
            <w:proofErr w:type="spellStart"/>
            <w:r w:rsidRPr="00D42B94">
              <w:rPr>
                <w:rFonts w:ascii="Calibri" w:hAnsi="Calibri" w:cs="Calibri"/>
                <w:sz w:val="20"/>
                <w:szCs w:val="20"/>
              </w:rPr>
              <w:t>cities</w:t>
            </w:r>
            <w:proofErr w:type="spellEnd"/>
            <w:r w:rsidRPr="00D42B94">
              <w:rPr>
                <w:rFonts w:ascii="Calibri" w:hAnsi="Calibri" w:cs="Calibri"/>
                <w:sz w:val="20"/>
                <w:szCs w:val="20"/>
              </w:rPr>
              <w:t xml:space="preserve"> and </w:t>
            </w:r>
            <w:proofErr w:type="spellStart"/>
            <w:r w:rsidRPr="00D42B94">
              <w:rPr>
                <w:rFonts w:ascii="Calibri" w:hAnsi="Calibri" w:cs="Calibri"/>
                <w:sz w:val="20"/>
                <w:szCs w:val="20"/>
              </w:rPr>
              <w:t>comummities</w:t>
            </w:r>
            <w:proofErr w:type="spellEnd"/>
            <w:r w:rsidRPr="00D42B94">
              <w:rPr>
                <w:rFonts w:ascii="Calibri" w:hAnsi="Calibri" w:cs="Calibri"/>
                <w:sz w:val="20"/>
                <w:szCs w:val="20"/>
              </w:rPr>
              <w:t xml:space="preserve"> TEF (inteligentne gminy, w tym transport), i </w:t>
            </w:r>
            <w:proofErr w:type="spellStart"/>
            <w:r w:rsidRPr="00D42B94">
              <w:rPr>
                <w:rFonts w:ascii="Calibri" w:hAnsi="Calibri" w:cs="Calibri"/>
                <w:sz w:val="20"/>
                <w:szCs w:val="20"/>
              </w:rPr>
              <w:t>Health</w:t>
            </w:r>
            <w:proofErr w:type="spellEnd"/>
            <w:r w:rsidRPr="00D42B94">
              <w:rPr>
                <w:rFonts w:ascii="Calibri" w:hAnsi="Calibri" w:cs="Calibri"/>
                <w:sz w:val="20"/>
                <w:szCs w:val="20"/>
              </w:rPr>
              <w:t xml:space="preserve"> TEF (zdrowie). Zapewnienie współfinansowania pozwoli polskim innowatorom na aktywne włączenie się do transgranicznej sieci testów i eksperymentowania AI, a tym samym zapewni Polsce możliwość monitorowania, walidacji i certyfikacji tej technologii na podstawie wypracowanych również w kraju standardów i reguł technicznych, organizacyjnych oraz etycznych. Ostateczny kształt i ilość członków TEF jest przedmiotem dyskusji w KE i ma być przesądzony do końca 2021r. Pierwsze konkursy mają być ogłoszone jesienią br. </w:t>
            </w:r>
          </w:p>
          <w:p w14:paraId="5875774B" w14:textId="77777777" w:rsidR="00A87FF2" w:rsidRPr="00D42B94" w:rsidRDefault="00A87FF2" w:rsidP="00A87FF2">
            <w:pPr>
              <w:jc w:val="both"/>
              <w:rPr>
                <w:rFonts w:ascii="Calibri" w:hAnsi="Calibri" w:cs="Calibri"/>
                <w:sz w:val="20"/>
                <w:szCs w:val="20"/>
              </w:rPr>
            </w:pPr>
            <w:r w:rsidRPr="00D42B94">
              <w:rPr>
                <w:rFonts w:ascii="Calibri" w:hAnsi="Calibri" w:cs="Calibri"/>
                <w:sz w:val="20"/>
                <w:szCs w:val="20"/>
              </w:rPr>
              <w:t xml:space="preserve">Kwota jaką należałoby zapewnić tytułem wkładu własnego Polski to 25 mln euro (wymagany udział krajowy w finansowaniu jednego </w:t>
            </w:r>
            <w:proofErr w:type="spellStart"/>
            <w:r w:rsidRPr="00D42B94">
              <w:rPr>
                <w:rFonts w:ascii="Calibri" w:hAnsi="Calibri" w:cs="Calibri"/>
                <w:sz w:val="20"/>
                <w:szCs w:val="20"/>
              </w:rPr>
              <w:t>TEFu</w:t>
            </w:r>
            <w:proofErr w:type="spellEnd"/>
            <w:r w:rsidRPr="00D42B94">
              <w:rPr>
                <w:rFonts w:ascii="Calibri" w:hAnsi="Calibri" w:cs="Calibri"/>
                <w:sz w:val="20"/>
                <w:szCs w:val="20"/>
              </w:rPr>
              <w:t xml:space="preserve"> to 50% czyli 5 mln euro; a realny potencjał na udział w 5 wymienionych powyżej </w:t>
            </w:r>
            <w:proofErr w:type="spellStart"/>
            <w:r w:rsidRPr="00D42B94">
              <w:rPr>
                <w:rFonts w:ascii="Calibri" w:hAnsi="Calibri" w:cs="Calibri"/>
                <w:sz w:val="20"/>
                <w:szCs w:val="20"/>
              </w:rPr>
              <w:t>TEFach</w:t>
            </w:r>
            <w:proofErr w:type="spellEnd"/>
            <w:r w:rsidRPr="00D42B94">
              <w:rPr>
                <w:rFonts w:ascii="Calibri" w:hAnsi="Calibri" w:cs="Calibri"/>
                <w:sz w:val="20"/>
                <w:szCs w:val="20"/>
              </w:rPr>
              <w:t>). Minimalna kwota udziału Polski to 5 x 5 mln euro, czyli 25 mln euro.</w:t>
            </w:r>
          </w:p>
          <w:p w14:paraId="570BA030" w14:textId="2D6E620C" w:rsidR="00A87FF2" w:rsidRPr="00D42B94" w:rsidRDefault="00A87FF2" w:rsidP="00A87FF2">
            <w:pPr>
              <w:jc w:val="both"/>
              <w:rPr>
                <w:rFonts w:ascii="Calibri" w:hAnsi="Calibri" w:cs="Calibri"/>
                <w:sz w:val="20"/>
                <w:szCs w:val="20"/>
              </w:rPr>
            </w:pPr>
            <w:r w:rsidRPr="00D42B94">
              <w:rPr>
                <w:rFonts w:ascii="Calibri" w:hAnsi="Calibri" w:cs="Calibri"/>
                <w:sz w:val="20"/>
                <w:szCs w:val="20"/>
              </w:rPr>
              <w:t>Działaniem uzupełniającym powinno być także wsparcie udziału podmiotów krajowych w konsorcjach tworzących europejskie centra doskonałości AI.</w:t>
            </w:r>
          </w:p>
        </w:tc>
        <w:tc>
          <w:tcPr>
            <w:tcW w:w="4961" w:type="dxa"/>
            <w:shd w:val="clear" w:color="auto" w:fill="auto"/>
          </w:tcPr>
          <w:p w14:paraId="740D47D2" w14:textId="77777777" w:rsidR="00A87FF2" w:rsidRPr="005E10B6" w:rsidRDefault="00A87FF2" w:rsidP="00A87FF2">
            <w:pPr>
              <w:jc w:val="both"/>
              <w:rPr>
                <w:rFonts w:asciiTheme="minorHAnsi" w:hAnsiTheme="minorHAnsi" w:cstheme="minorHAnsi"/>
                <w:sz w:val="20"/>
                <w:szCs w:val="20"/>
              </w:rPr>
            </w:pPr>
          </w:p>
        </w:tc>
        <w:tc>
          <w:tcPr>
            <w:tcW w:w="1701" w:type="dxa"/>
          </w:tcPr>
          <w:p w14:paraId="3C894331" w14:textId="13E6A836" w:rsidR="00A87FF2" w:rsidRDefault="003F123D" w:rsidP="00A87FF2">
            <w:pPr>
              <w:jc w:val="both"/>
              <w:rPr>
                <w:rFonts w:asciiTheme="minorHAnsi" w:hAnsiTheme="minorHAnsi" w:cstheme="minorHAnsi"/>
                <w:sz w:val="20"/>
                <w:szCs w:val="20"/>
              </w:rPr>
            </w:pPr>
            <w:r>
              <w:rPr>
                <w:rFonts w:asciiTheme="minorHAnsi" w:hAnsiTheme="minorHAnsi" w:cstheme="minorHAnsi"/>
                <w:sz w:val="20"/>
                <w:szCs w:val="20"/>
              </w:rPr>
              <w:t>Uwzględniona częściowo</w:t>
            </w:r>
          </w:p>
        </w:tc>
        <w:tc>
          <w:tcPr>
            <w:tcW w:w="1900" w:type="dxa"/>
          </w:tcPr>
          <w:p w14:paraId="3601E88A" w14:textId="5E951047" w:rsidR="00A87FF2" w:rsidRDefault="003F123D" w:rsidP="00A87FF2">
            <w:pPr>
              <w:jc w:val="both"/>
              <w:rPr>
                <w:rFonts w:asciiTheme="minorHAnsi" w:hAnsiTheme="minorHAnsi" w:cstheme="minorHAnsi"/>
                <w:sz w:val="20"/>
                <w:szCs w:val="20"/>
              </w:rPr>
            </w:pPr>
            <w:r>
              <w:rPr>
                <w:rFonts w:asciiTheme="minorHAnsi" w:hAnsiTheme="minorHAnsi" w:cstheme="minorHAnsi"/>
                <w:sz w:val="20"/>
                <w:szCs w:val="20"/>
              </w:rPr>
              <w:t xml:space="preserve">W Programie oraz zał. 2 do Programu, uwzględnione zostały zapisy dotyczące współfinansowania tworzenia Centrów testów i eksperymentowania </w:t>
            </w:r>
            <w:r w:rsidRPr="00D42B94">
              <w:rPr>
                <w:rFonts w:ascii="Calibri" w:hAnsi="Calibri" w:cs="Calibri"/>
                <w:sz w:val="20"/>
                <w:szCs w:val="20"/>
              </w:rPr>
              <w:t>technologicznego Sztucznej Inteligencji</w:t>
            </w:r>
            <w:r>
              <w:rPr>
                <w:rFonts w:ascii="Calibri" w:hAnsi="Calibri" w:cs="Calibri"/>
                <w:sz w:val="20"/>
                <w:szCs w:val="20"/>
              </w:rPr>
              <w:t xml:space="preserve"> </w:t>
            </w:r>
            <w:r w:rsidRPr="003F123D">
              <w:rPr>
                <w:rFonts w:ascii="Calibri" w:hAnsi="Calibri" w:cs="Calibri"/>
                <w:sz w:val="20"/>
                <w:szCs w:val="20"/>
              </w:rPr>
              <w:t xml:space="preserve">(z ang. </w:t>
            </w:r>
            <w:proofErr w:type="spellStart"/>
            <w:r w:rsidRPr="003F123D">
              <w:rPr>
                <w:rFonts w:ascii="Calibri" w:hAnsi="Calibri" w:cs="Calibri"/>
                <w:sz w:val="20"/>
                <w:szCs w:val="20"/>
              </w:rPr>
              <w:t>Testing</w:t>
            </w:r>
            <w:proofErr w:type="spellEnd"/>
            <w:r w:rsidRPr="003F123D">
              <w:rPr>
                <w:rFonts w:ascii="Calibri" w:hAnsi="Calibri" w:cs="Calibri"/>
                <w:sz w:val="20"/>
                <w:szCs w:val="20"/>
              </w:rPr>
              <w:t xml:space="preserve"> and </w:t>
            </w:r>
            <w:proofErr w:type="spellStart"/>
            <w:r w:rsidRPr="003F123D">
              <w:rPr>
                <w:rFonts w:ascii="Calibri" w:hAnsi="Calibri" w:cs="Calibri"/>
                <w:sz w:val="20"/>
                <w:szCs w:val="20"/>
              </w:rPr>
              <w:lastRenderedPageBreak/>
              <w:t>Experimentation</w:t>
            </w:r>
            <w:proofErr w:type="spellEnd"/>
            <w:r w:rsidRPr="003F123D">
              <w:rPr>
                <w:rFonts w:ascii="Calibri" w:hAnsi="Calibri" w:cs="Calibri"/>
                <w:sz w:val="20"/>
                <w:szCs w:val="20"/>
              </w:rPr>
              <w:t xml:space="preserve"> </w:t>
            </w:r>
            <w:proofErr w:type="spellStart"/>
            <w:r w:rsidRPr="003F123D">
              <w:rPr>
                <w:rFonts w:ascii="Calibri" w:hAnsi="Calibri" w:cs="Calibri"/>
                <w:sz w:val="20"/>
                <w:szCs w:val="20"/>
              </w:rPr>
              <w:t>Facility</w:t>
            </w:r>
            <w:proofErr w:type="spellEnd"/>
            <w:r w:rsidRPr="003F123D">
              <w:rPr>
                <w:rFonts w:ascii="Calibri" w:hAnsi="Calibri" w:cs="Calibri"/>
                <w:sz w:val="20"/>
                <w:szCs w:val="20"/>
              </w:rPr>
              <w:t>, dalej TE</w:t>
            </w:r>
            <w:r>
              <w:rPr>
                <w:rFonts w:ascii="Calibri" w:hAnsi="Calibri" w:cs="Calibri"/>
                <w:sz w:val="20"/>
                <w:szCs w:val="20"/>
              </w:rPr>
              <w:t>F</w:t>
            </w:r>
            <w:r w:rsidRPr="003F123D">
              <w:rPr>
                <w:rFonts w:ascii="Calibri" w:hAnsi="Calibri" w:cs="Calibri"/>
                <w:sz w:val="20"/>
                <w:szCs w:val="20"/>
              </w:rPr>
              <w:t>)</w:t>
            </w:r>
            <w:r>
              <w:rPr>
                <w:rFonts w:ascii="Calibri" w:hAnsi="Calibri" w:cs="Calibri"/>
                <w:sz w:val="20"/>
                <w:szCs w:val="20"/>
              </w:rPr>
              <w:t xml:space="preserve"> wraz z działaniem uzupełniającym dot. wsparcia</w:t>
            </w:r>
            <w:r w:rsidRPr="00D42B94">
              <w:rPr>
                <w:rFonts w:ascii="Calibri" w:hAnsi="Calibri" w:cs="Calibri"/>
                <w:sz w:val="20"/>
                <w:szCs w:val="20"/>
              </w:rPr>
              <w:t xml:space="preserve"> udziału podmiotów krajowych w konsorcjach tworzących europejskie centra doskonałości AI</w:t>
            </w:r>
            <w:r w:rsidRPr="003F123D">
              <w:rPr>
                <w:rFonts w:ascii="Calibri" w:hAnsi="Calibri" w:cs="Calibri"/>
                <w:sz w:val="20"/>
                <w:szCs w:val="20"/>
              </w:rPr>
              <w:t>.</w:t>
            </w:r>
            <w:r w:rsidRPr="00D42B94">
              <w:rPr>
                <w:rFonts w:ascii="Calibri" w:hAnsi="Calibri" w:cs="Calibri"/>
                <w:sz w:val="20"/>
                <w:szCs w:val="20"/>
              </w:rPr>
              <w:t xml:space="preserve"> </w:t>
            </w:r>
            <w:r>
              <w:rPr>
                <w:rFonts w:asciiTheme="minorHAnsi" w:hAnsiTheme="minorHAnsi" w:cstheme="minorHAnsi"/>
                <w:sz w:val="20"/>
                <w:szCs w:val="20"/>
              </w:rPr>
              <w:t xml:space="preserve"> </w:t>
            </w:r>
          </w:p>
          <w:p w14:paraId="179E6B62" w14:textId="77777777" w:rsidR="003F123D" w:rsidRDefault="003F123D" w:rsidP="00A87FF2">
            <w:pPr>
              <w:jc w:val="both"/>
              <w:rPr>
                <w:rFonts w:asciiTheme="minorHAnsi" w:hAnsiTheme="minorHAnsi" w:cstheme="minorHAnsi"/>
                <w:sz w:val="20"/>
                <w:szCs w:val="20"/>
              </w:rPr>
            </w:pPr>
          </w:p>
          <w:p w14:paraId="78E38B09" w14:textId="4CD01170" w:rsidR="003F123D" w:rsidRPr="005E10B6" w:rsidRDefault="003F123D" w:rsidP="003F123D">
            <w:pPr>
              <w:jc w:val="both"/>
              <w:rPr>
                <w:rFonts w:asciiTheme="minorHAnsi" w:hAnsiTheme="minorHAnsi" w:cstheme="minorHAnsi"/>
                <w:sz w:val="20"/>
                <w:szCs w:val="20"/>
              </w:rPr>
            </w:pPr>
            <w:r>
              <w:rPr>
                <w:rFonts w:asciiTheme="minorHAnsi" w:hAnsiTheme="minorHAnsi" w:cstheme="minorHAnsi"/>
                <w:sz w:val="20"/>
                <w:szCs w:val="20"/>
              </w:rPr>
              <w:t>Jednakże z uwagi na zidentyfikowanie potrzeby wsparcia tych podmiotów na dość późnym etapie konsultacji w trybie KRMC nie możemy potwierdzić wnioskowanej kwoty finansowania w ramach FENG.</w:t>
            </w:r>
          </w:p>
        </w:tc>
      </w:tr>
      <w:tr w:rsidR="00A87FF2" w:rsidRPr="004E0927" w14:paraId="52C1A7FD" w14:textId="77777777" w:rsidTr="003A0B1E">
        <w:tc>
          <w:tcPr>
            <w:tcW w:w="533" w:type="dxa"/>
            <w:shd w:val="clear" w:color="auto" w:fill="auto"/>
            <w:vAlign w:val="center"/>
          </w:tcPr>
          <w:p w14:paraId="2E1ACD09" w14:textId="77777777" w:rsidR="00A87FF2" w:rsidRPr="004E0927" w:rsidRDefault="00A87FF2" w:rsidP="00A87FF2">
            <w:pPr>
              <w:pStyle w:val="Akapitzlist"/>
              <w:numPr>
                <w:ilvl w:val="0"/>
                <w:numId w:val="3"/>
              </w:numPr>
              <w:spacing w:before="120" w:after="120"/>
              <w:ind w:left="357" w:hanging="357"/>
              <w:jc w:val="center"/>
              <w:rPr>
                <w:rFonts w:asciiTheme="minorHAnsi" w:hAnsiTheme="minorHAnsi" w:cstheme="minorHAnsi"/>
                <w:b/>
                <w:sz w:val="20"/>
                <w:szCs w:val="20"/>
              </w:rPr>
            </w:pPr>
          </w:p>
        </w:tc>
        <w:tc>
          <w:tcPr>
            <w:tcW w:w="771" w:type="dxa"/>
            <w:shd w:val="clear" w:color="auto" w:fill="auto"/>
            <w:vAlign w:val="center"/>
          </w:tcPr>
          <w:p w14:paraId="5538982D" w14:textId="7EB42C1D" w:rsidR="00A87FF2" w:rsidRPr="00D32135" w:rsidRDefault="00A87FF2" w:rsidP="001F4962">
            <w:pPr>
              <w:spacing w:before="60" w:after="60"/>
              <w:jc w:val="center"/>
              <w:rPr>
                <w:rFonts w:ascii="Calibri" w:hAnsi="Calibri" w:cs="Calibri"/>
                <w:b/>
                <w:sz w:val="20"/>
                <w:szCs w:val="20"/>
              </w:rPr>
            </w:pPr>
            <w:r w:rsidRPr="00D32135">
              <w:rPr>
                <w:rFonts w:ascii="Calibri" w:hAnsi="Calibri" w:cs="Calibri"/>
                <w:b/>
                <w:sz w:val="20"/>
                <w:szCs w:val="20"/>
              </w:rPr>
              <w:t>MC</w:t>
            </w:r>
          </w:p>
        </w:tc>
        <w:tc>
          <w:tcPr>
            <w:tcW w:w="1318" w:type="dxa"/>
            <w:shd w:val="clear" w:color="auto" w:fill="auto"/>
          </w:tcPr>
          <w:p w14:paraId="7732E23E" w14:textId="610D58DB" w:rsidR="00A87FF2" w:rsidRPr="00D32135" w:rsidRDefault="00A87FF2" w:rsidP="00A87FF2">
            <w:pPr>
              <w:rPr>
                <w:rFonts w:ascii="Calibri" w:hAnsi="Calibri" w:cs="Calibri"/>
                <w:sz w:val="20"/>
                <w:szCs w:val="20"/>
              </w:rPr>
            </w:pPr>
            <w:r w:rsidRPr="00D32135">
              <w:rPr>
                <w:rFonts w:ascii="Calibri" w:hAnsi="Calibri" w:cs="Calibri"/>
                <w:sz w:val="20"/>
                <w:szCs w:val="20"/>
              </w:rPr>
              <w:t>Strona 38 projektu Programu Fundusze Europejskie dla Nowoczesnej Gospodarki na lata 2021-</w:t>
            </w:r>
            <w:r w:rsidRPr="00D32135">
              <w:rPr>
                <w:rFonts w:ascii="Calibri" w:hAnsi="Calibri" w:cs="Calibri"/>
                <w:sz w:val="20"/>
                <w:szCs w:val="20"/>
              </w:rPr>
              <w:lastRenderedPageBreak/>
              <w:t>2027</w:t>
            </w:r>
          </w:p>
        </w:tc>
        <w:tc>
          <w:tcPr>
            <w:tcW w:w="4577" w:type="dxa"/>
            <w:shd w:val="clear" w:color="auto" w:fill="auto"/>
          </w:tcPr>
          <w:p w14:paraId="5816C15E" w14:textId="77777777" w:rsidR="00A87FF2" w:rsidRPr="00D42B94" w:rsidRDefault="00A87FF2" w:rsidP="00A87FF2">
            <w:pPr>
              <w:autoSpaceDE w:val="0"/>
              <w:autoSpaceDN w:val="0"/>
              <w:jc w:val="both"/>
              <w:rPr>
                <w:rFonts w:ascii="Calibri" w:eastAsia="Calibri" w:hAnsi="Calibri" w:cs="Calibri"/>
                <w:b/>
                <w:iCs/>
                <w:sz w:val="20"/>
                <w:szCs w:val="20"/>
                <w:lang w:eastAsia="en-US"/>
              </w:rPr>
            </w:pPr>
            <w:r w:rsidRPr="00D42B94">
              <w:rPr>
                <w:rFonts w:ascii="Calibri" w:eastAsia="Calibri" w:hAnsi="Calibri" w:cs="Calibri"/>
                <w:b/>
                <w:sz w:val="20"/>
                <w:szCs w:val="20"/>
                <w:lang w:eastAsia="en-US"/>
              </w:rPr>
              <w:lastRenderedPageBreak/>
              <w:t xml:space="preserve">Proponuje się dodanie punktu: Finansowanie wkładu krajowego w konkursach na </w:t>
            </w:r>
            <w:r w:rsidRPr="00D42B94">
              <w:rPr>
                <w:rFonts w:ascii="Calibri" w:eastAsia="Calibri" w:hAnsi="Calibri" w:cs="Calibri"/>
                <w:b/>
                <w:iCs/>
                <w:sz w:val="20"/>
                <w:szCs w:val="20"/>
                <w:lang w:eastAsia="en-US"/>
              </w:rPr>
              <w:t xml:space="preserve">centra testów i eksperymentowania sztucznej inteligencji (TEF AI) tworzone przez sieci organizacji badawczych i przedsiębiorców w możliwych partnerstwach międzynarodowych. </w:t>
            </w:r>
          </w:p>
          <w:p w14:paraId="761E53F0" w14:textId="7C051DFE" w:rsidR="00A87FF2" w:rsidRPr="00D42B94" w:rsidRDefault="00A87FF2" w:rsidP="00A87FF2">
            <w:pPr>
              <w:jc w:val="both"/>
              <w:rPr>
                <w:rFonts w:ascii="Calibri" w:hAnsi="Calibri" w:cs="Calibri"/>
                <w:sz w:val="20"/>
                <w:szCs w:val="20"/>
              </w:rPr>
            </w:pPr>
            <w:r w:rsidRPr="00D42B94">
              <w:rPr>
                <w:rFonts w:ascii="Calibri" w:eastAsia="Calibri" w:hAnsi="Calibri" w:cs="Calibri"/>
                <w:iCs/>
                <w:sz w:val="20"/>
                <w:szCs w:val="20"/>
                <w:lang w:eastAsia="en-US"/>
              </w:rPr>
              <w:t>Zaznacza się przy tym, iż o</w:t>
            </w:r>
            <w:r w:rsidRPr="00D42B94">
              <w:rPr>
                <w:rFonts w:ascii="Calibri" w:hAnsi="Calibri" w:cs="Calibri"/>
                <w:sz w:val="20"/>
                <w:szCs w:val="20"/>
              </w:rPr>
              <w:t xml:space="preserve">stateczny kształt i ilość członków TEF jest przedmiotem dyskusji w KE i ma być przesadzony do końca 2021r. Zakładany przez KE </w:t>
            </w:r>
            <w:r w:rsidRPr="00D42B94">
              <w:rPr>
                <w:rFonts w:ascii="Calibri" w:hAnsi="Calibri" w:cs="Calibri"/>
                <w:sz w:val="20"/>
                <w:szCs w:val="20"/>
              </w:rPr>
              <w:lastRenderedPageBreak/>
              <w:t xml:space="preserve">koszt jednego Centrum to Zakładany koszt jednego centrum to 10 mln euro.do.2027r., z czego KE ma finansować 50%). Minimalna kwota udziału Polski to 5 x 5 mln euro, czyli 25 mln euro. </w:t>
            </w:r>
          </w:p>
        </w:tc>
        <w:tc>
          <w:tcPr>
            <w:tcW w:w="4961" w:type="dxa"/>
            <w:shd w:val="clear" w:color="auto" w:fill="auto"/>
          </w:tcPr>
          <w:p w14:paraId="0487224A" w14:textId="77777777" w:rsidR="00A87FF2" w:rsidRPr="005E10B6" w:rsidRDefault="00A87FF2" w:rsidP="00A87FF2">
            <w:pPr>
              <w:jc w:val="both"/>
              <w:rPr>
                <w:rFonts w:asciiTheme="minorHAnsi" w:hAnsiTheme="minorHAnsi" w:cstheme="minorHAnsi"/>
                <w:sz w:val="20"/>
                <w:szCs w:val="20"/>
              </w:rPr>
            </w:pPr>
          </w:p>
        </w:tc>
        <w:tc>
          <w:tcPr>
            <w:tcW w:w="1701" w:type="dxa"/>
          </w:tcPr>
          <w:p w14:paraId="4F3B2D59" w14:textId="77ABAE83" w:rsidR="00A87FF2" w:rsidRDefault="00901F1F" w:rsidP="00A87FF2">
            <w:pPr>
              <w:jc w:val="both"/>
              <w:rPr>
                <w:rFonts w:asciiTheme="minorHAnsi" w:hAnsiTheme="minorHAnsi" w:cstheme="minorHAnsi"/>
                <w:sz w:val="20"/>
                <w:szCs w:val="20"/>
              </w:rPr>
            </w:pPr>
            <w:r>
              <w:rPr>
                <w:rFonts w:asciiTheme="minorHAnsi" w:hAnsiTheme="minorHAnsi" w:cstheme="minorHAnsi"/>
                <w:sz w:val="20"/>
                <w:szCs w:val="20"/>
              </w:rPr>
              <w:t>uwzględniona</w:t>
            </w:r>
          </w:p>
        </w:tc>
        <w:tc>
          <w:tcPr>
            <w:tcW w:w="1900" w:type="dxa"/>
          </w:tcPr>
          <w:p w14:paraId="2C479F93" w14:textId="514A09FC" w:rsidR="00A87FF2" w:rsidRPr="005E10B6" w:rsidRDefault="00901F1F" w:rsidP="00901F1F">
            <w:pPr>
              <w:jc w:val="both"/>
              <w:rPr>
                <w:rFonts w:asciiTheme="minorHAnsi" w:hAnsiTheme="minorHAnsi" w:cstheme="minorHAnsi"/>
                <w:sz w:val="20"/>
                <w:szCs w:val="20"/>
              </w:rPr>
            </w:pPr>
            <w:r>
              <w:rPr>
                <w:rFonts w:asciiTheme="minorHAnsi" w:hAnsiTheme="minorHAnsi" w:cstheme="minorHAnsi"/>
                <w:sz w:val="20"/>
                <w:szCs w:val="20"/>
              </w:rPr>
              <w:t>Zapisy programu zostały uzupełnione zgodnie z propozycją.</w:t>
            </w:r>
          </w:p>
        </w:tc>
      </w:tr>
      <w:tr w:rsidR="00A87FF2" w:rsidRPr="004E0927" w14:paraId="3A1A414F" w14:textId="77777777" w:rsidTr="003A0B1E">
        <w:tc>
          <w:tcPr>
            <w:tcW w:w="533" w:type="dxa"/>
            <w:shd w:val="clear" w:color="auto" w:fill="auto"/>
            <w:vAlign w:val="center"/>
          </w:tcPr>
          <w:p w14:paraId="6A5669BA" w14:textId="77777777" w:rsidR="00A87FF2" w:rsidRPr="004E0927" w:rsidRDefault="00A87FF2" w:rsidP="00A87FF2">
            <w:pPr>
              <w:pStyle w:val="Akapitzlist"/>
              <w:numPr>
                <w:ilvl w:val="0"/>
                <w:numId w:val="3"/>
              </w:numPr>
              <w:spacing w:before="120" w:after="120"/>
              <w:ind w:left="357" w:hanging="357"/>
              <w:jc w:val="center"/>
              <w:rPr>
                <w:rFonts w:asciiTheme="minorHAnsi" w:hAnsiTheme="minorHAnsi" w:cstheme="minorHAnsi"/>
                <w:b/>
                <w:sz w:val="20"/>
                <w:szCs w:val="20"/>
              </w:rPr>
            </w:pPr>
          </w:p>
        </w:tc>
        <w:tc>
          <w:tcPr>
            <w:tcW w:w="771" w:type="dxa"/>
            <w:shd w:val="clear" w:color="auto" w:fill="auto"/>
            <w:vAlign w:val="center"/>
          </w:tcPr>
          <w:p w14:paraId="1022F617" w14:textId="1EC55BC0" w:rsidR="00A87FF2" w:rsidRPr="00D32135" w:rsidRDefault="001F4962" w:rsidP="001F4962">
            <w:pPr>
              <w:spacing w:before="60" w:after="60"/>
              <w:jc w:val="center"/>
              <w:rPr>
                <w:rFonts w:ascii="Calibri" w:hAnsi="Calibri" w:cs="Calibri"/>
                <w:b/>
                <w:sz w:val="20"/>
                <w:szCs w:val="20"/>
              </w:rPr>
            </w:pPr>
            <w:r>
              <w:rPr>
                <w:rFonts w:ascii="Calibri" w:hAnsi="Calibri" w:cs="Calibri"/>
                <w:b/>
                <w:sz w:val="20"/>
                <w:szCs w:val="20"/>
              </w:rPr>
              <w:t>MC</w:t>
            </w:r>
          </w:p>
        </w:tc>
        <w:tc>
          <w:tcPr>
            <w:tcW w:w="1318" w:type="dxa"/>
            <w:shd w:val="clear" w:color="auto" w:fill="auto"/>
          </w:tcPr>
          <w:p w14:paraId="28478AF3" w14:textId="6B5C9A39" w:rsidR="00A87FF2" w:rsidRPr="00D32135" w:rsidRDefault="00A87FF2" w:rsidP="00A87FF2">
            <w:pPr>
              <w:rPr>
                <w:rFonts w:ascii="Calibri" w:hAnsi="Calibri" w:cs="Calibri"/>
                <w:sz w:val="20"/>
                <w:szCs w:val="20"/>
              </w:rPr>
            </w:pPr>
            <w:r w:rsidRPr="00D32135">
              <w:rPr>
                <w:rFonts w:ascii="Calibri" w:hAnsi="Calibri" w:cs="Calibri"/>
                <w:sz w:val="20"/>
                <w:szCs w:val="20"/>
              </w:rPr>
              <w:t>Strona 66 projektu Programu Fundusze Europejskie dla Nowoczesnej Gospodarki na lata 2021-2027</w:t>
            </w:r>
          </w:p>
        </w:tc>
        <w:tc>
          <w:tcPr>
            <w:tcW w:w="4577" w:type="dxa"/>
            <w:shd w:val="clear" w:color="auto" w:fill="auto"/>
          </w:tcPr>
          <w:p w14:paraId="5A956DC6" w14:textId="77777777" w:rsidR="00A87FF2" w:rsidRPr="00D42B94" w:rsidRDefault="00A87FF2" w:rsidP="00A87FF2">
            <w:pPr>
              <w:spacing w:before="120" w:after="120"/>
              <w:contextualSpacing/>
              <w:jc w:val="both"/>
              <w:rPr>
                <w:rFonts w:ascii="Calibri" w:eastAsia="Calibri" w:hAnsi="Calibri" w:cs="Calibri"/>
                <w:b/>
                <w:sz w:val="20"/>
                <w:szCs w:val="20"/>
                <w:lang w:eastAsia="en-US"/>
              </w:rPr>
            </w:pPr>
            <w:r w:rsidRPr="00D42B94">
              <w:rPr>
                <w:rFonts w:ascii="Calibri" w:eastAsia="Calibri" w:hAnsi="Calibri" w:cs="Calibri"/>
                <w:b/>
                <w:sz w:val="20"/>
                <w:szCs w:val="20"/>
                <w:lang w:eastAsia="en-US"/>
              </w:rPr>
              <w:t>Proponuje się dodać kolejny punkt do akapitu „Rozwój przedsiębiorstw poprzez wsparcie ośrodków innowacji.”:</w:t>
            </w:r>
          </w:p>
          <w:p w14:paraId="5BAA67C3" w14:textId="31A12284" w:rsidR="00A87FF2" w:rsidRPr="00D42B94" w:rsidRDefault="00A87FF2" w:rsidP="00A87FF2">
            <w:pPr>
              <w:jc w:val="both"/>
              <w:rPr>
                <w:rFonts w:ascii="Calibri" w:hAnsi="Calibri" w:cs="Calibri"/>
                <w:sz w:val="20"/>
                <w:szCs w:val="20"/>
              </w:rPr>
            </w:pPr>
            <w:r w:rsidRPr="00D42B94">
              <w:rPr>
                <w:rFonts w:ascii="Calibri" w:eastAsia="Calibri" w:hAnsi="Calibri" w:cs="Calibri"/>
                <w:i/>
                <w:sz w:val="20"/>
                <w:szCs w:val="20"/>
                <w:lang w:eastAsia="en-US"/>
              </w:rPr>
              <w:t xml:space="preserve">„Współfinansowanie. Centrów testów i eksperymentowania technologicznego sztucznej Inteligencji (AI). – Wsparcie będzie komplementarne w stosunku do finansowania zapewnionego przez Komisję Europejską w ramach nowego instrumentu </w:t>
            </w:r>
            <w:proofErr w:type="spellStart"/>
            <w:r w:rsidRPr="00D42B94">
              <w:rPr>
                <w:rFonts w:ascii="Calibri" w:eastAsia="Calibri" w:hAnsi="Calibri" w:cs="Calibri"/>
                <w:i/>
                <w:sz w:val="20"/>
                <w:szCs w:val="20"/>
                <w:lang w:eastAsia="en-US"/>
              </w:rPr>
              <w:t>Testing</w:t>
            </w:r>
            <w:proofErr w:type="spellEnd"/>
            <w:r w:rsidRPr="00D42B94">
              <w:rPr>
                <w:rFonts w:ascii="Calibri" w:eastAsia="Calibri" w:hAnsi="Calibri" w:cs="Calibri"/>
                <w:i/>
                <w:sz w:val="20"/>
                <w:szCs w:val="20"/>
                <w:lang w:eastAsia="en-US"/>
              </w:rPr>
              <w:t xml:space="preserve"> and </w:t>
            </w:r>
            <w:proofErr w:type="spellStart"/>
            <w:r w:rsidRPr="00D42B94">
              <w:rPr>
                <w:rFonts w:ascii="Calibri" w:eastAsia="Calibri" w:hAnsi="Calibri" w:cs="Calibri"/>
                <w:i/>
                <w:sz w:val="20"/>
                <w:szCs w:val="20"/>
                <w:lang w:eastAsia="en-US"/>
              </w:rPr>
              <w:t>Experimentation</w:t>
            </w:r>
            <w:proofErr w:type="spellEnd"/>
            <w:r w:rsidRPr="00D42B94">
              <w:rPr>
                <w:rFonts w:ascii="Calibri" w:eastAsia="Calibri" w:hAnsi="Calibri" w:cs="Calibri"/>
                <w:i/>
                <w:sz w:val="20"/>
                <w:szCs w:val="20"/>
                <w:lang w:eastAsia="en-US"/>
              </w:rPr>
              <w:t xml:space="preserve"> </w:t>
            </w:r>
            <w:proofErr w:type="spellStart"/>
            <w:r w:rsidRPr="00D42B94">
              <w:rPr>
                <w:rFonts w:ascii="Calibri" w:eastAsia="Calibri" w:hAnsi="Calibri" w:cs="Calibri"/>
                <w:i/>
                <w:sz w:val="20"/>
                <w:szCs w:val="20"/>
                <w:lang w:eastAsia="en-US"/>
              </w:rPr>
              <w:t>Facilities</w:t>
            </w:r>
            <w:proofErr w:type="spellEnd"/>
            <w:r w:rsidRPr="00D42B94">
              <w:rPr>
                <w:rFonts w:ascii="Calibri" w:eastAsia="Calibri" w:hAnsi="Calibri" w:cs="Calibri"/>
                <w:i/>
                <w:sz w:val="20"/>
                <w:szCs w:val="20"/>
                <w:lang w:eastAsia="en-US"/>
              </w:rPr>
              <w:t xml:space="preserve"> (TEF) po w ramach Programu Cyfrowa Europa (Digital Europe </w:t>
            </w:r>
            <w:proofErr w:type="spellStart"/>
            <w:r w:rsidRPr="00D42B94">
              <w:rPr>
                <w:rFonts w:ascii="Calibri" w:eastAsia="Calibri" w:hAnsi="Calibri" w:cs="Calibri"/>
                <w:i/>
                <w:sz w:val="20"/>
                <w:szCs w:val="20"/>
                <w:lang w:eastAsia="en-US"/>
              </w:rPr>
              <w:t>Programme</w:t>
            </w:r>
            <w:proofErr w:type="spellEnd"/>
            <w:r w:rsidRPr="00D42B94">
              <w:rPr>
                <w:rFonts w:ascii="Calibri" w:eastAsia="Calibri" w:hAnsi="Calibri" w:cs="Calibri"/>
                <w:i/>
                <w:sz w:val="20"/>
                <w:szCs w:val="20"/>
                <w:lang w:eastAsia="en-US"/>
              </w:rPr>
              <w:t>. Polska wykazuje zdolność organizacyjna i techniczna do założenia centrów w obszarze Edge TEF  AI (hardware) dla systemów AI oraz sektorowych: rolnictwo (</w:t>
            </w:r>
            <w:proofErr w:type="spellStart"/>
            <w:r w:rsidRPr="00D42B94">
              <w:rPr>
                <w:rFonts w:ascii="Calibri" w:eastAsia="Calibri" w:hAnsi="Calibri" w:cs="Calibri"/>
                <w:i/>
                <w:sz w:val="20"/>
                <w:szCs w:val="20"/>
                <w:lang w:eastAsia="en-US"/>
              </w:rPr>
              <w:t>Agri</w:t>
            </w:r>
            <w:proofErr w:type="spellEnd"/>
            <w:r w:rsidRPr="00D42B94">
              <w:rPr>
                <w:rFonts w:ascii="Calibri" w:eastAsia="Calibri" w:hAnsi="Calibri" w:cs="Calibri"/>
                <w:i/>
                <w:sz w:val="20"/>
                <w:szCs w:val="20"/>
                <w:lang w:eastAsia="en-US"/>
              </w:rPr>
              <w:t xml:space="preserve">-Food); Przemysł (Manufacturing TEF), Inteligentne Miasta i Społeczności (Smart </w:t>
            </w:r>
            <w:proofErr w:type="spellStart"/>
            <w:r w:rsidRPr="00D42B94">
              <w:rPr>
                <w:rFonts w:ascii="Calibri" w:eastAsia="Calibri" w:hAnsi="Calibri" w:cs="Calibri"/>
                <w:i/>
                <w:sz w:val="20"/>
                <w:szCs w:val="20"/>
                <w:lang w:eastAsia="en-US"/>
              </w:rPr>
              <w:t>cities</w:t>
            </w:r>
            <w:proofErr w:type="spellEnd"/>
            <w:r w:rsidRPr="00D42B94">
              <w:rPr>
                <w:rFonts w:ascii="Calibri" w:eastAsia="Calibri" w:hAnsi="Calibri" w:cs="Calibri"/>
                <w:i/>
                <w:sz w:val="20"/>
                <w:szCs w:val="20"/>
                <w:lang w:eastAsia="en-US"/>
              </w:rPr>
              <w:t xml:space="preserve"> and </w:t>
            </w:r>
            <w:proofErr w:type="spellStart"/>
            <w:r w:rsidRPr="00D42B94">
              <w:rPr>
                <w:rFonts w:ascii="Calibri" w:eastAsia="Calibri" w:hAnsi="Calibri" w:cs="Calibri"/>
                <w:i/>
                <w:sz w:val="20"/>
                <w:szCs w:val="20"/>
                <w:lang w:eastAsia="en-US"/>
              </w:rPr>
              <w:t>comummities</w:t>
            </w:r>
            <w:proofErr w:type="spellEnd"/>
            <w:r w:rsidRPr="00D42B94">
              <w:rPr>
                <w:rFonts w:ascii="Calibri" w:eastAsia="Calibri" w:hAnsi="Calibri" w:cs="Calibri"/>
                <w:i/>
                <w:sz w:val="20"/>
                <w:szCs w:val="20"/>
                <w:lang w:eastAsia="en-US"/>
              </w:rPr>
              <w:t xml:space="preserve"> TEF) oraz Zdrowie (</w:t>
            </w:r>
            <w:proofErr w:type="spellStart"/>
            <w:r w:rsidRPr="00D42B94">
              <w:rPr>
                <w:rFonts w:ascii="Calibri" w:eastAsia="Calibri" w:hAnsi="Calibri" w:cs="Calibri"/>
                <w:i/>
                <w:sz w:val="20"/>
                <w:szCs w:val="20"/>
                <w:lang w:eastAsia="en-US"/>
              </w:rPr>
              <w:t>Health</w:t>
            </w:r>
            <w:proofErr w:type="spellEnd"/>
            <w:r w:rsidRPr="00D42B94">
              <w:rPr>
                <w:rFonts w:ascii="Calibri" w:eastAsia="Calibri" w:hAnsi="Calibri" w:cs="Calibri"/>
                <w:i/>
                <w:sz w:val="20"/>
                <w:szCs w:val="20"/>
                <w:lang w:eastAsia="en-US"/>
              </w:rPr>
              <w:t xml:space="preserve"> TEF). Wsparcie tworzenia TEF pozwoli na włączenie się do transgranicznej sieci testów i eksperymentowania sztucznej inteligencji, a jednocześnie monitorowania, walidacji i certyfikacji tej technologii na podstawie wypracowanych również w Polsce standardów i reguł technicznych, organizacyjnych i etycznych.”</w:t>
            </w:r>
          </w:p>
        </w:tc>
        <w:tc>
          <w:tcPr>
            <w:tcW w:w="4961" w:type="dxa"/>
            <w:shd w:val="clear" w:color="auto" w:fill="auto"/>
          </w:tcPr>
          <w:p w14:paraId="335B9BBA" w14:textId="5385C97C" w:rsidR="00A87FF2" w:rsidRPr="005E10B6" w:rsidRDefault="00901F1F" w:rsidP="00A87FF2">
            <w:pPr>
              <w:jc w:val="both"/>
              <w:rPr>
                <w:rFonts w:asciiTheme="minorHAnsi" w:hAnsiTheme="minorHAnsi" w:cstheme="minorHAnsi"/>
                <w:sz w:val="20"/>
                <w:szCs w:val="20"/>
              </w:rPr>
            </w:pPr>
            <w:r>
              <w:rPr>
                <w:rFonts w:asciiTheme="minorHAnsi" w:hAnsiTheme="minorHAnsi" w:cstheme="minorHAnsi"/>
                <w:sz w:val="20"/>
                <w:szCs w:val="20"/>
              </w:rPr>
              <w:t>-</w:t>
            </w:r>
          </w:p>
        </w:tc>
        <w:tc>
          <w:tcPr>
            <w:tcW w:w="1701" w:type="dxa"/>
          </w:tcPr>
          <w:p w14:paraId="5C71FA06" w14:textId="2CF9C839" w:rsidR="00A87FF2" w:rsidRDefault="00901F1F" w:rsidP="00A87FF2">
            <w:pPr>
              <w:jc w:val="both"/>
              <w:rPr>
                <w:rFonts w:asciiTheme="minorHAnsi" w:hAnsiTheme="minorHAnsi" w:cstheme="minorHAnsi"/>
                <w:sz w:val="20"/>
                <w:szCs w:val="20"/>
              </w:rPr>
            </w:pPr>
            <w:r>
              <w:rPr>
                <w:rFonts w:asciiTheme="minorHAnsi" w:hAnsiTheme="minorHAnsi" w:cstheme="minorHAnsi"/>
                <w:sz w:val="20"/>
                <w:szCs w:val="20"/>
              </w:rPr>
              <w:t>uwzględniona</w:t>
            </w:r>
          </w:p>
        </w:tc>
        <w:tc>
          <w:tcPr>
            <w:tcW w:w="1900" w:type="dxa"/>
          </w:tcPr>
          <w:p w14:paraId="1B918EA6" w14:textId="23A03108" w:rsidR="00A87FF2" w:rsidRPr="005E10B6" w:rsidRDefault="00901F1F" w:rsidP="00901F1F">
            <w:pPr>
              <w:jc w:val="both"/>
              <w:rPr>
                <w:rFonts w:asciiTheme="minorHAnsi" w:hAnsiTheme="minorHAnsi" w:cstheme="minorHAnsi"/>
                <w:sz w:val="20"/>
                <w:szCs w:val="20"/>
              </w:rPr>
            </w:pPr>
            <w:r>
              <w:rPr>
                <w:rFonts w:asciiTheme="minorHAnsi" w:hAnsiTheme="minorHAnsi" w:cstheme="minorHAnsi"/>
                <w:sz w:val="20"/>
                <w:szCs w:val="20"/>
              </w:rPr>
              <w:t>Zapisy programu zostały uzupełnione zgodnie z propozycją.</w:t>
            </w:r>
          </w:p>
        </w:tc>
      </w:tr>
      <w:tr w:rsidR="00A87FF2" w:rsidRPr="004E0927" w14:paraId="66B79D7E" w14:textId="77777777" w:rsidTr="003A0B1E">
        <w:tc>
          <w:tcPr>
            <w:tcW w:w="533" w:type="dxa"/>
            <w:shd w:val="clear" w:color="auto" w:fill="auto"/>
            <w:vAlign w:val="center"/>
          </w:tcPr>
          <w:p w14:paraId="7E579806" w14:textId="77777777" w:rsidR="00A87FF2" w:rsidRPr="004E0927" w:rsidRDefault="00A87FF2" w:rsidP="00A87FF2">
            <w:pPr>
              <w:pStyle w:val="Akapitzlist"/>
              <w:numPr>
                <w:ilvl w:val="0"/>
                <w:numId w:val="3"/>
              </w:numPr>
              <w:spacing w:before="120" w:after="120"/>
              <w:ind w:left="357" w:hanging="357"/>
              <w:jc w:val="center"/>
              <w:rPr>
                <w:rFonts w:asciiTheme="minorHAnsi" w:hAnsiTheme="minorHAnsi" w:cstheme="minorHAnsi"/>
                <w:b/>
                <w:sz w:val="20"/>
                <w:szCs w:val="20"/>
              </w:rPr>
            </w:pPr>
          </w:p>
        </w:tc>
        <w:tc>
          <w:tcPr>
            <w:tcW w:w="771" w:type="dxa"/>
            <w:shd w:val="clear" w:color="auto" w:fill="auto"/>
            <w:vAlign w:val="center"/>
          </w:tcPr>
          <w:p w14:paraId="01701A7D" w14:textId="0DB5F6C6" w:rsidR="00A87FF2" w:rsidRPr="00D32135" w:rsidRDefault="00A87FF2" w:rsidP="001F4962">
            <w:pPr>
              <w:spacing w:before="60" w:after="60"/>
              <w:jc w:val="center"/>
              <w:rPr>
                <w:rFonts w:ascii="Calibri" w:hAnsi="Calibri" w:cs="Calibri"/>
                <w:b/>
                <w:sz w:val="20"/>
                <w:szCs w:val="20"/>
              </w:rPr>
            </w:pPr>
            <w:r w:rsidRPr="00D32135">
              <w:rPr>
                <w:rFonts w:ascii="Calibri" w:hAnsi="Calibri" w:cs="Calibri"/>
                <w:b/>
                <w:sz w:val="20"/>
                <w:szCs w:val="20"/>
              </w:rPr>
              <w:t>MC</w:t>
            </w:r>
          </w:p>
        </w:tc>
        <w:tc>
          <w:tcPr>
            <w:tcW w:w="1318" w:type="dxa"/>
            <w:shd w:val="clear" w:color="auto" w:fill="auto"/>
          </w:tcPr>
          <w:p w14:paraId="44B4EE13" w14:textId="18C8D516" w:rsidR="00A87FF2" w:rsidRPr="00D32135" w:rsidRDefault="00A87FF2" w:rsidP="00A87FF2">
            <w:pPr>
              <w:rPr>
                <w:rFonts w:ascii="Calibri" w:hAnsi="Calibri" w:cs="Calibri"/>
                <w:sz w:val="20"/>
                <w:szCs w:val="20"/>
              </w:rPr>
            </w:pPr>
            <w:r w:rsidRPr="00D32135">
              <w:rPr>
                <w:rFonts w:ascii="Calibri" w:eastAsia="Calibri" w:hAnsi="Calibri" w:cs="Calibri"/>
                <w:sz w:val="20"/>
                <w:szCs w:val="20"/>
                <w:lang w:eastAsia="en-US"/>
              </w:rPr>
              <w:t xml:space="preserve">projekt Programu Fundusze Europejskie dla Nowoczesnej Gospodarki na lata 2021-2027 (Główne grupy docelowe – art. 22 ust. 3 </w:t>
            </w:r>
            <w:r w:rsidRPr="00D32135">
              <w:rPr>
                <w:rFonts w:ascii="Calibri" w:eastAsia="Calibri" w:hAnsi="Calibri" w:cs="Calibri"/>
                <w:sz w:val="20"/>
                <w:szCs w:val="20"/>
                <w:lang w:eastAsia="en-US"/>
              </w:rPr>
              <w:lastRenderedPageBreak/>
              <w:t xml:space="preserve">lit. e) </w:t>
            </w:r>
            <w:proofErr w:type="spellStart"/>
            <w:r w:rsidRPr="00D32135">
              <w:rPr>
                <w:rFonts w:ascii="Calibri" w:eastAsia="Calibri" w:hAnsi="Calibri" w:cs="Calibri"/>
                <w:sz w:val="20"/>
                <w:szCs w:val="20"/>
                <w:lang w:eastAsia="en-US"/>
              </w:rPr>
              <w:t>ppkt</w:t>
            </w:r>
            <w:proofErr w:type="spellEnd"/>
            <w:r w:rsidRPr="00D32135">
              <w:rPr>
                <w:rFonts w:ascii="Calibri" w:eastAsia="Calibri" w:hAnsi="Calibri" w:cs="Calibri"/>
                <w:sz w:val="20"/>
                <w:szCs w:val="20"/>
                <w:lang w:eastAsia="en-US"/>
              </w:rPr>
              <w:t xml:space="preserve"> (iii) rozporządzenia w sprawie wspólnych przepisów- w akapicie dot.: Rozwój przedsiębiorstw poprzez wsparcie ośrodków innowacji)</w:t>
            </w:r>
          </w:p>
        </w:tc>
        <w:tc>
          <w:tcPr>
            <w:tcW w:w="4577" w:type="dxa"/>
            <w:shd w:val="clear" w:color="auto" w:fill="auto"/>
          </w:tcPr>
          <w:p w14:paraId="6BA36795" w14:textId="77777777" w:rsidR="00A87FF2" w:rsidRPr="00D42B94" w:rsidRDefault="00A87FF2" w:rsidP="00A87FF2">
            <w:pPr>
              <w:jc w:val="both"/>
              <w:rPr>
                <w:rFonts w:asciiTheme="minorHAnsi" w:hAnsiTheme="minorHAnsi" w:cstheme="minorHAnsi"/>
                <w:sz w:val="20"/>
                <w:szCs w:val="20"/>
              </w:rPr>
            </w:pPr>
            <w:r w:rsidRPr="00D42B94">
              <w:rPr>
                <w:rFonts w:asciiTheme="minorHAnsi" w:hAnsiTheme="minorHAnsi" w:cstheme="minorHAnsi"/>
                <w:b/>
                <w:sz w:val="20"/>
                <w:szCs w:val="20"/>
              </w:rPr>
              <w:lastRenderedPageBreak/>
              <w:t xml:space="preserve">Proponuje się wyraźne dodanie tzw. </w:t>
            </w:r>
            <w:proofErr w:type="spellStart"/>
            <w:r w:rsidRPr="00D42B94">
              <w:rPr>
                <w:rFonts w:asciiTheme="minorHAnsi" w:hAnsiTheme="minorHAnsi" w:cstheme="minorHAnsi"/>
                <w:b/>
                <w:sz w:val="20"/>
                <w:szCs w:val="20"/>
              </w:rPr>
              <w:t>TEFów</w:t>
            </w:r>
            <w:proofErr w:type="spellEnd"/>
            <w:r w:rsidRPr="00D42B94">
              <w:rPr>
                <w:rFonts w:asciiTheme="minorHAnsi" w:hAnsiTheme="minorHAnsi" w:cstheme="minorHAnsi"/>
                <w:b/>
                <w:sz w:val="20"/>
                <w:szCs w:val="20"/>
              </w:rPr>
              <w:t>, czyli ośrodków udogodnień dla testowania i eksperymentowania rozwiązań technologii cyfrowych (</w:t>
            </w:r>
            <w:proofErr w:type="spellStart"/>
            <w:r w:rsidRPr="00D42B94">
              <w:rPr>
                <w:rFonts w:asciiTheme="minorHAnsi" w:hAnsiTheme="minorHAnsi" w:cstheme="minorHAnsi"/>
                <w:b/>
                <w:sz w:val="20"/>
                <w:szCs w:val="20"/>
              </w:rPr>
              <w:t>Testing</w:t>
            </w:r>
            <w:proofErr w:type="spellEnd"/>
            <w:r w:rsidRPr="00D42B94">
              <w:rPr>
                <w:rFonts w:asciiTheme="minorHAnsi" w:hAnsiTheme="minorHAnsi" w:cstheme="minorHAnsi"/>
                <w:b/>
                <w:sz w:val="20"/>
                <w:szCs w:val="20"/>
              </w:rPr>
              <w:t xml:space="preserve"> and </w:t>
            </w:r>
            <w:proofErr w:type="spellStart"/>
            <w:r w:rsidRPr="00D42B94">
              <w:rPr>
                <w:rFonts w:asciiTheme="minorHAnsi" w:hAnsiTheme="minorHAnsi" w:cstheme="minorHAnsi"/>
                <w:b/>
                <w:sz w:val="20"/>
                <w:szCs w:val="20"/>
              </w:rPr>
              <w:t>Experimentation</w:t>
            </w:r>
            <w:proofErr w:type="spellEnd"/>
            <w:r w:rsidRPr="00D42B94">
              <w:rPr>
                <w:rFonts w:asciiTheme="minorHAnsi" w:hAnsiTheme="minorHAnsi" w:cstheme="minorHAnsi"/>
                <w:b/>
                <w:sz w:val="20"/>
                <w:szCs w:val="20"/>
              </w:rPr>
              <w:t xml:space="preserve"> </w:t>
            </w:r>
            <w:proofErr w:type="spellStart"/>
            <w:r w:rsidRPr="00D42B94">
              <w:rPr>
                <w:rFonts w:asciiTheme="minorHAnsi" w:hAnsiTheme="minorHAnsi" w:cstheme="minorHAnsi"/>
                <w:b/>
                <w:sz w:val="20"/>
                <w:szCs w:val="20"/>
              </w:rPr>
              <w:t>Facility</w:t>
            </w:r>
            <w:proofErr w:type="spellEnd"/>
            <w:r w:rsidRPr="00D42B94">
              <w:rPr>
                <w:rFonts w:asciiTheme="minorHAnsi" w:hAnsiTheme="minorHAnsi" w:cstheme="minorHAnsi"/>
                <w:b/>
                <w:sz w:val="20"/>
                <w:szCs w:val="20"/>
              </w:rPr>
              <w:t>).</w:t>
            </w:r>
            <w:r w:rsidRPr="00D42B94">
              <w:rPr>
                <w:rFonts w:asciiTheme="minorHAnsi" w:hAnsiTheme="minorHAnsi" w:cstheme="minorHAnsi"/>
                <w:sz w:val="20"/>
                <w:szCs w:val="20"/>
              </w:rPr>
              <w:t xml:space="preserve"> </w:t>
            </w:r>
          </w:p>
          <w:p w14:paraId="76C9C0FA" w14:textId="77777777" w:rsidR="00A87FF2" w:rsidRPr="00D42B94" w:rsidRDefault="00A87FF2" w:rsidP="00A87FF2">
            <w:pPr>
              <w:jc w:val="both"/>
              <w:rPr>
                <w:rFonts w:asciiTheme="minorHAnsi" w:hAnsiTheme="minorHAnsi" w:cstheme="minorHAnsi"/>
                <w:sz w:val="20"/>
                <w:szCs w:val="20"/>
              </w:rPr>
            </w:pPr>
            <w:r w:rsidRPr="00D42B94">
              <w:rPr>
                <w:rFonts w:asciiTheme="minorHAnsi" w:hAnsiTheme="minorHAnsi" w:cstheme="minorHAnsi"/>
                <w:sz w:val="20"/>
                <w:szCs w:val="20"/>
              </w:rPr>
              <w:t xml:space="preserve">Są one wprost wymienione jako interwencja w Skoordynowanym Planie dla rozwoju sztucznej inteligencji w UE. Są to odmienne instytucje od </w:t>
            </w:r>
            <w:proofErr w:type="spellStart"/>
            <w:r w:rsidRPr="00D42B94">
              <w:rPr>
                <w:rFonts w:asciiTheme="minorHAnsi" w:hAnsiTheme="minorHAnsi" w:cstheme="minorHAnsi"/>
                <w:sz w:val="20"/>
                <w:szCs w:val="20"/>
              </w:rPr>
              <w:t>eDIH</w:t>
            </w:r>
            <w:proofErr w:type="spellEnd"/>
            <w:r w:rsidRPr="00D42B94">
              <w:rPr>
                <w:rFonts w:asciiTheme="minorHAnsi" w:hAnsiTheme="minorHAnsi" w:cstheme="minorHAnsi"/>
                <w:sz w:val="20"/>
                <w:szCs w:val="20"/>
              </w:rPr>
              <w:t>-ów tj. Europejskie Huby Innowacji Cyfrowych (</w:t>
            </w:r>
            <w:proofErr w:type="spellStart"/>
            <w:r w:rsidRPr="00D42B94">
              <w:rPr>
                <w:rFonts w:asciiTheme="minorHAnsi" w:hAnsiTheme="minorHAnsi" w:cstheme="minorHAnsi"/>
                <w:sz w:val="20"/>
                <w:szCs w:val="20"/>
              </w:rPr>
              <w:t>European</w:t>
            </w:r>
            <w:proofErr w:type="spellEnd"/>
            <w:r w:rsidRPr="00D42B94">
              <w:rPr>
                <w:rFonts w:asciiTheme="minorHAnsi" w:hAnsiTheme="minorHAnsi" w:cstheme="minorHAnsi"/>
                <w:sz w:val="20"/>
                <w:szCs w:val="20"/>
              </w:rPr>
              <w:t xml:space="preserve"> Digital </w:t>
            </w:r>
            <w:proofErr w:type="spellStart"/>
            <w:r w:rsidRPr="00D42B94">
              <w:rPr>
                <w:rFonts w:asciiTheme="minorHAnsi" w:hAnsiTheme="minorHAnsi" w:cstheme="minorHAnsi"/>
                <w:sz w:val="20"/>
                <w:szCs w:val="20"/>
              </w:rPr>
              <w:t>Innovation</w:t>
            </w:r>
            <w:proofErr w:type="spellEnd"/>
            <w:r w:rsidRPr="00D42B94">
              <w:rPr>
                <w:rFonts w:asciiTheme="minorHAnsi" w:hAnsiTheme="minorHAnsi" w:cstheme="minorHAnsi"/>
                <w:sz w:val="20"/>
                <w:szCs w:val="20"/>
              </w:rPr>
              <w:t xml:space="preserve"> </w:t>
            </w:r>
            <w:proofErr w:type="spellStart"/>
            <w:r w:rsidRPr="00D42B94">
              <w:rPr>
                <w:rFonts w:asciiTheme="minorHAnsi" w:hAnsiTheme="minorHAnsi" w:cstheme="minorHAnsi"/>
                <w:sz w:val="20"/>
                <w:szCs w:val="20"/>
              </w:rPr>
              <w:t>Hubs</w:t>
            </w:r>
            <w:proofErr w:type="spellEnd"/>
            <w:r w:rsidRPr="00D42B94">
              <w:rPr>
                <w:rFonts w:asciiTheme="minorHAnsi" w:hAnsiTheme="minorHAnsi" w:cstheme="minorHAnsi"/>
                <w:sz w:val="20"/>
                <w:szCs w:val="20"/>
              </w:rPr>
              <w:t xml:space="preserve">). Należałoby też wszędzie tam gdzie mówi się o </w:t>
            </w:r>
            <w:proofErr w:type="spellStart"/>
            <w:r w:rsidRPr="00D42B94">
              <w:rPr>
                <w:rFonts w:asciiTheme="minorHAnsi" w:hAnsiTheme="minorHAnsi" w:cstheme="minorHAnsi"/>
                <w:sz w:val="20"/>
                <w:szCs w:val="20"/>
              </w:rPr>
              <w:t>eDIH</w:t>
            </w:r>
            <w:proofErr w:type="spellEnd"/>
            <w:r w:rsidRPr="00D42B94">
              <w:rPr>
                <w:rFonts w:asciiTheme="minorHAnsi" w:hAnsiTheme="minorHAnsi" w:cstheme="minorHAnsi"/>
                <w:sz w:val="20"/>
                <w:szCs w:val="20"/>
              </w:rPr>
              <w:t xml:space="preserve">-ach w kontekście eksperymentów i testów również uzupełnić wypowiedź o </w:t>
            </w:r>
            <w:proofErr w:type="spellStart"/>
            <w:r w:rsidRPr="00D42B94">
              <w:rPr>
                <w:rFonts w:asciiTheme="minorHAnsi" w:hAnsiTheme="minorHAnsi" w:cstheme="minorHAnsi"/>
                <w:sz w:val="20"/>
                <w:szCs w:val="20"/>
              </w:rPr>
              <w:t>TEFs</w:t>
            </w:r>
            <w:proofErr w:type="spellEnd"/>
            <w:r w:rsidRPr="00D42B94">
              <w:rPr>
                <w:rFonts w:asciiTheme="minorHAnsi" w:hAnsiTheme="minorHAnsi" w:cstheme="minorHAnsi"/>
                <w:sz w:val="20"/>
                <w:szCs w:val="20"/>
              </w:rPr>
              <w:t>.</w:t>
            </w:r>
          </w:p>
          <w:p w14:paraId="6C1E1F60" w14:textId="34FD2EC8" w:rsidR="00A87FF2" w:rsidRDefault="00A87FF2" w:rsidP="00A87FF2">
            <w:pPr>
              <w:jc w:val="both"/>
              <w:rPr>
                <w:rFonts w:asciiTheme="minorHAnsi" w:hAnsiTheme="minorHAnsi" w:cstheme="minorHAnsi"/>
                <w:sz w:val="20"/>
                <w:szCs w:val="20"/>
              </w:rPr>
            </w:pPr>
            <w:r w:rsidRPr="00D42B94">
              <w:rPr>
                <w:rFonts w:asciiTheme="minorHAnsi" w:hAnsiTheme="minorHAnsi" w:cstheme="minorHAnsi"/>
                <w:sz w:val="20"/>
                <w:szCs w:val="20"/>
              </w:rPr>
              <w:t xml:space="preserve">Zasadne jest uwzględnienie wyraźnie tzw. </w:t>
            </w:r>
            <w:proofErr w:type="spellStart"/>
            <w:r w:rsidRPr="00D42B94">
              <w:rPr>
                <w:rFonts w:asciiTheme="minorHAnsi" w:hAnsiTheme="minorHAnsi" w:cstheme="minorHAnsi"/>
                <w:sz w:val="20"/>
                <w:szCs w:val="20"/>
              </w:rPr>
              <w:t>TEFs</w:t>
            </w:r>
            <w:proofErr w:type="spellEnd"/>
            <w:r w:rsidRPr="00D42B94">
              <w:rPr>
                <w:rFonts w:asciiTheme="minorHAnsi" w:hAnsiTheme="minorHAnsi" w:cstheme="minorHAnsi"/>
                <w:sz w:val="20"/>
                <w:szCs w:val="20"/>
              </w:rPr>
              <w:t xml:space="preserve"> w </w:t>
            </w:r>
            <w:r w:rsidRPr="00D42B94">
              <w:rPr>
                <w:rFonts w:asciiTheme="minorHAnsi" w:hAnsiTheme="minorHAnsi" w:cstheme="minorHAnsi"/>
                <w:sz w:val="20"/>
                <w:szCs w:val="20"/>
              </w:rPr>
              <w:lastRenderedPageBreak/>
              <w:t xml:space="preserve">pozycjach gdzie wspomina się o partnerach jak np.  </w:t>
            </w:r>
            <w:proofErr w:type="spellStart"/>
            <w:r w:rsidRPr="00D42B94">
              <w:rPr>
                <w:rFonts w:asciiTheme="minorHAnsi" w:hAnsiTheme="minorHAnsi" w:cstheme="minorHAnsi"/>
                <w:sz w:val="20"/>
                <w:szCs w:val="20"/>
              </w:rPr>
              <w:t>eDIHy</w:t>
            </w:r>
            <w:proofErr w:type="spellEnd"/>
            <w:r w:rsidRPr="00D42B94">
              <w:rPr>
                <w:rFonts w:asciiTheme="minorHAnsi" w:hAnsiTheme="minorHAnsi" w:cstheme="minorHAnsi"/>
                <w:sz w:val="20"/>
                <w:szCs w:val="20"/>
              </w:rPr>
              <w:t xml:space="preserve">, w obszarze udogodnień dla testowania i eksperymentowania rozwiązań technologii cyfrowych (przełomowych). Tzw. </w:t>
            </w:r>
            <w:proofErr w:type="spellStart"/>
            <w:r w:rsidRPr="00D42B94">
              <w:rPr>
                <w:rFonts w:asciiTheme="minorHAnsi" w:hAnsiTheme="minorHAnsi" w:cstheme="minorHAnsi"/>
                <w:sz w:val="20"/>
                <w:szCs w:val="20"/>
              </w:rPr>
              <w:t>eDIHy</w:t>
            </w:r>
            <w:proofErr w:type="spellEnd"/>
            <w:r w:rsidRPr="00D42B94">
              <w:rPr>
                <w:rFonts w:asciiTheme="minorHAnsi" w:hAnsiTheme="minorHAnsi" w:cstheme="minorHAnsi"/>
                <w:sz w:val="20"/>
                <w:szCs w:val="20"/>
              </w:rPr>
              <w:t xml:space="preserve"> nie są tym samym co </w:t>
            </w:r>
            <w:proofErr w:type="spellStart"/>
            <w:r w:rsidRPr="00D42B94">
              <w:rPr>
                <w:rFonts w:asciiTheme="minorHAnsi" w:hAnsiTheme="minorHAnsi" w:cstheme="minorHAnsi"/>
                <w:sz w:val="20"/>
                <w:szCs w:val="20"/>
              </w:rPr>
              <w:t>TEFs</w:t>
            </w:r>
            <w:proofErr w:type="spellEnd"/>
            <w:r w:rsidRPr="00D42B94">
              <w:rPr>
                <w:rFonts w:asciiTheme="minorHAnsi" w:hAnsiTheme="minorHAnsi" w:cstheme="minorHAnsi"/>
                <w:sz w:val="20"/>
                <w:szCs w:val="20"/>
              </w:rPr>
              <w:t>, stąd potrzeba ich wyeksponowania</w:t>
            </w:r>
            <w:r w:rsidRPr="004E7746">
              <w:rPr>
                <w:rFonts w:asciiTheme="minorHAnsi" w:hAnsiTheme="minorHAnsi" w:cstheme="minorHAnsi"/>
                <w:sz w:val="22"/>
                <w:szCs w:val="22"/>
              </w:rPr>
              <w:t>.</w:t>
            </w:r>
          </w:p>
        </w:tc>
        <w:tc>
          <w:tcPr>
            <w:tcW w:w="4961" w:type="dxa"/>
            <w:shd w:val="clear" w:color="auto" w:fill="auto"/>
          </w:tcPr>
          <w:p w14:paraId="5AA68E53" w14:textId="77777777" w:rsidR="00A87FF2" w:rsidRPr="005E10B6" w:rsidRDefault="00A87FF2" w:rsidP="00A87FF2">
            <w:pPr>
              <w:jc w:val="both"/>
              <w:rPr>
                <w:rFonts w:asciiTheme="minorHAnsi" w:hAnsiTheme="minorHAnsi" w:cstheme="minorHAnsi"/>
                <w:sz w:val="20"/>
                <w:szCs w:val="20"/>
              </w:rPr>
            </w:pPr>
          </w:p>
        </w:tc>
        <w:tc>
          <w:tcPr>
            <w:tcW w:w="1701" w:type="dxa"/>
          </w:tcPr>
          <w:p w14:paraId="42AEE815" w14:textId="574215BB" w:rsidR="00A87FF2" w:rsidRDefault="00206D43" w:rsidP="00A87FF2">
            <w:pPr>
              <w:jc w:val="both"/>
              <w:rPr>
                <w:rFonts w:asciiTheme="minorHAnsi" w:hAnsiTheme="minorHAnsi" w:cstheme="minorHAnsi"/>
                <w:sz w:val="20"/>
                <w:szCs w:val="20"/>
              </w:rPr>
            </w:pPr>
            <w:r>
              <w:rPr>
                <w:rFonts w:asciiTheme="minorHAnsi" w:hAnsiTheme="minorHAnsi" w:cstheme="minorHAnsi"/>
                <w:sz w:val="20"/>
                <w:szCs w:val="20"/>
              </w:rPr>
              <w:t>uwzględniona</w:t>
            </w:r>
          </w:p>
        </w:tc>
        <w:tc>
          <w:tcPr>
            <w:tcW w:w="1900" w:type="dxa"/>
          </w:tcPr>
          <w:p w14:paraId="4B0A56FA" w14:textId="566DA1F9" w:rsidR="00A87FF2" w:rsidRPr="005E10B6" w:rsidRDefault="00206D43" w:rsidP="00A87FF2">
            <w:pPr>
              <w:jc w:val="both"/>
              <w:rPr>
                <w:rFonts w:asciiTheme="minorHAnsi" w:hAnsiTheme="minorHAnsi" w:cstheme="minorHAnsi"/>
                <w:sz w:val="20"/>
                <w:szCs w:val="20"/>
              </w:rPr>
            </w:pPr>
            <w:r>
              <w:rPr>
                <w:rFonts w:asciiTheme="minorHAnsi" w:hAnsiTheme="minorHAnsi" w:cstheme="minorHAnsi"/>
                <w:sz w:val="20"/>
                <w:szCs w:val="20"/>
              </w:rPr>
              <w:t>Zapisy programu zostały uzupełnione zgodnie z propozycją.</w:t>
            </w:r>
          </w:p>
        </w:tc>
      </w:tr>
      <w:tr w:rsidR="003A0B1E" w:rsidRPr="004E0927" w14:paraId="083A6D5A" w14:textId="77777777" w:rsidTr="003A0B1E">
        <w:tc>
          <w:tcPr>
            <w:tcW w:w="15761" w:type="dxa"/>
            <w:gridSpan w:val="7"/>
            <w:shd w:val="clear" w:color="auto" w:fill="auto"/>
            <w:vAlign w:val="center"/>
          </w:tcPr>
          <w:p w14:paraId="1234A213" w14:textId="77777777" w:rsidR="003A0B1E" w:rsidRDefault="003A0B1E" w:rsidP="00A87FF2">
            <w:pPr>
              <w:jc w:val="both"/>
              <w:rPr>
                <w:rFonts w:asciiTheme="minorHAnsi" w:hAnsiTheme="minorHAnsi" w:cstheme="minorHAnsi"/>
                <w:sz w:val="20"/>
                <w:szCs w:val="20"/>
              </w:rPr>
            </w:pPr>
          </w:p>
        </w:tc>
      </w:tr>
      <w:tr w:rsidR="003A0B1E" w:rsidRPr="004E0927" w14:paraId="33FD86B3" w14:textId="77777777" w:rsidTr="003A0B1E">
        <w:tc>
          <w:tcPr>
            <w:tcW w:w="1304" w:type="dxa"/>
            <w:gridSpan w:val="2"/>
            <w:shd w:val="clear" w:color="auto" w:fill="auto"/>
            <w:vAlign w:val="center"/>
          </w:tcPr>
          <w:p w14:paraId="2E303241" w14:textId="24875B48" w:rsidR="003A0B1E" w:rsidRPr="00D32135" w:rsidRDefault="003A0B1E" w:rsidP="001F4962">
            <w:pPr>
              <w:spacing w:before="60" w:after="60"/>
              <w:jc w:val="center"/>
              <w:rPr>
                <w:rFonts w:ascii="Calibri" w:hAnsi="Calibri" w:cs="Calibri"/>
                <w:b/>
                <w:sz w:val="20"/>
                <w:szCs w:val="20"/>
              </w:rPr>
            </w:pPr>
            <w:r>
              <w:rPr>
                <w:rFonts w:ascii="Calibri" w:hAnsi="Calibri" w:cs="Calibri"/>
                <w:b/>
                <w:sz w:val="20"/>
                <w:szCs w:val="20"/>
              </w:rPr>
              <w:t xml:space="preserve">Autokorekta </w:t>
            </w:r>
            <w:proofErr w:type="spellStart"/>
            <w:r>
              <w:rPr>
                <w:rFonts w:ascii="Calibri" w:hAnsi="Calibri" w:cs="Calibri"/>
                <w:b/>
                <w:sz w:val="20"/>
                <w:szCs w:val="20"/>
              </w:rPr>
              <w:t>MFiPR</w:t>
            </w:r>
            <w:proofErr w:type="spellEnd"/>
            <w:r>
              <w:rPr>
                <w:rFonts w:ascii="Calibri" w:hAnsi="Calibri" w:cs="Calibri"/>
                <w:b/>
                <w:sz w:val="20"/>
                <w:szCs w:val="20"/>
              </w:rPr>
              <w:t xml:space="preserve"> po uwadze MAP</w:t>
            </w:r>
          </w:p>
        </w:tc>
        <w:tc>
          <w:tcPr>
            <w:tcW w:w="1318" w:type="dxa"/>
            <w:shd w:val="clear" w:color="auto" w:fill="auto"/>
          </w:tcPr>
          <w:p w14:paraId="532A7773" w14:textId="77777777" w:rsidR="003A0B1E" w:rsidRPr="003A0B1E" w:rsidRDefault="003A0B1E" w:rsidP="003A0B1E">
            <w:pPr>
              <w:rPr>
                <w:rFonts w:ascii="Calibri" w:eastAsia="Calibri" w:hAnsi="Calibri" w:cs="Calibri"/>
                <w:sz w:val="20"/>
                <w:szCs w:val="20"/>
                <w:lang w:eastAsia="en-US"/>
              </w:rPr>
            </w:pPr>
            <w:r w:rsidRPr="003A0B1E">
              <w:rPr>
                <w:rFonts w:ascii="Calibri" w:eastAsia="Calibri" w:hAnsi="Calibri" w:cs="Calibri"/>
                <w:sz w:val="20"/>
                <w:szCs w:val="20"/>
                <w:lang w:eastAsia="en-US"/>
              </w:rPr>
              <w:t>Tabela 12: Warunki podstawowe</w:t>
            </w:r>
          </w:p>
          <w:p w14:paraId="0A04B132" w14:textId="1F35556A" w:rsidR="003A0B1E" w:rsidRPr="00D32135" w:rsidRDefault="003A0B1E" w:rsidP="003A0B1E">
            <w:pPr>
              <w:rPr>
                <w:rFonts w:ascii="Calibri" w:eastAsia="Calibri" w:hAnsi="Calibri" w:cs="Calibri"/>
                <w:sz w:val="20"/>
                <w:szCs w:val="20"/>
                <w:lang w:eastAsia="en-US"/>
              </w:rPr>
            </w:pPr>
            <w:r w:rsidRPr="003A0B1E">
              <w:rPr>
                <w:rFonts w:ascii="Calibri" w:eastAsia="Calibri" w:hAnsi="Calibri" w:cs="Calibri"/>
                <w:sz w:val="20"/>
                <w:szCs w:val="20"/>
                <w:lang w:eastAsia="en-US"/>
              </w:rPr>
              <w:t>str. 185</w:t>
            </w:r>
          </w:p>
        </w:tc>
        <w:tc>
          <w:tcPr>
            <w:tcW w:w="4577" w:type="dxa"/>
            <w:shd w:val="clear" w:color="auto" w:fill="auto"/>
          </w:tcPr>
          <w:p w14:paraId="6B6FEF23" w14:textId="77777777" w:rsidR="003A0B1E" w:rsidRDefault="003A0B1E" w:rsidP="00A87FF2">
            <w:pPr>
              <w:jc w:val="both"/>
              <w:rPr>
                <w:rFonts w:asciiTheme="minorHAnsi" w:hAnsiTheme="minorHAnsi" w:cstheme="minorHAnsi"/>
                <w:sz w:val="20"/>
                <w:szCs w:val="20"/>
              </w:rPr>
            </w:pPr>
            <w:r w:rsidRPr="003A0B1E">
              <w:rPr>
                <w:rFonts w:asciiTheme="minorHAnsi" w:hAnsiTheme="minorHAnsi" w:cstheme="minorHAnsi"/>
                <w:sz w:val="20"/>
                <w:szCs w:val="20"/>
              </w:rPr>
              <w:t>Zgodnie z rozporządzeniem Rady Ministrów z dnia 20 marca 2020 r. w sprawie przekształcenia Ministerstwa Aktywów Państwowych (Dz. U. poz. 498) oraz rozporządzeniem Rady Ministrów z dnia 20 marca 2020 r. w sprawie przekształcenia Ministerstwa Klimatu (Dz. U. poz. 499) dział administracji rządowej energia został podporządkowany Ministrowi Klimatu i Środowiska.</w:t>
            </w:r>
          </w:p>
          <w:p w14:paraId="710E8CE0" w14:textId="7BE12429" w:rsidR="003A0B1E" w:rsidRPr="00D42B94" w:rsidRDefault="003A0B1E" w:rsidP="00A87FF2">
            <w:pPr>
              <w:jc w:val="both"/>
              <w:rPr>
                <w:rFonts w:asciiTheme="minorHAnsi" w:hAnsiTheme="minorHAnsi" w:cstheme="minorHAnsi"/>
                <w:b/>
                <w:sz w:val="20"/>
                <w:szCs w:val="20"/>
              </w:rPr>
            </w:pPr>
            <w:r>
              <w:rPr>
                <w:rFonts w:asciiTheme="minorHAnsi" w:hAnsiTheme="minorHAnsi" w:cstheme="minorHAnsi"/>
                <w:sz w:val="20"/>
                <w:szCs w:val="20"/>
              </w:rPr>
              <w:t xml:space="preserve">W związku z powyższym korekty wymaga opis warunku 1.1 na str. 185, w którym wskazano, że za realizację Plan Rozwoju </w:t>
            </w:r>
            <w:proofErr w:type="spellStart"/>
            <w:r>
              <w:rPr>
                <w:rFonts w:asciiTheme="minorHAnsi" w:hAnsiTheme="minorHAnsi" w:cstheme="minorHAnsi"/>
                <w:sz w:val="20"/>
                <w:szCs w:val="20"/>
              </w:rPr>
              <w:t>Elektromobilności</w:t>
            </w:r>
            <w:proofErr w:type="spellEnd"/>
            <w:r>
              <w:rPr>
                <w:rFonts w:asciiTheme="minorHAnsi" w:hAnsiTheme="minorHAnsi" w:cstheme="minorHAnsi"/>
                <w:sz w:val="20"/>
                <w:szCs w:val="20"/>
              </w:rPr>
              <w:t xml:space="preserve"> odpowiada MAP.</w:t>
            </w:r>
          </w:p>
        </w:tc>
        <w:tc>
          <w:tcPr>
            <w:tcW w:w="4961" w:type="dxa"/>
            <w:shd w:val="clear" w:color="auto" w:fill="auto"/>
          </w:tcPr>
          <w:p w14:paraId="613B8DF5" w14:textId="77777777" w:rsidR="003A0B1E" w:rsidRPr="003A0B1E" w:rsidRDefault="003A0B1E" w:rsidP="003A0B1E">
            <w:pPr>
              <w:jc w:val="both"/>
              <w:rPr>
                <w:rFonts w:asciiTheme="minorHAnsi" w:hAnsiTheme="minorHAnsi" w:cstheme="minorHAnsi"/>
                <w:sz w:val="20"/>
                <w:szCs w:val="20"/>
              </w:rPr>
            </w:pPr>
            <w:r w:rsidRPr="003A0B1E">
              <w:rPr>
                <w:rFonts w:asciiTheme="minorHAnsi" w:hAnsiTheme="minorHAnsi" w:cstheme="minorHAnsi"/>
                <w:sz w:val="20"/>
                <w:szCs w:val="20"/>
              </w:rPr>
              <w:t>1.1 „Dobre zarządzanie krajową lub regionalną strategią inteligentnej specjalizacji”</w:t>
            </w:r>
          </w:p>
          <w:p w14:paraId="44C1D827" w14:textId="77777777" w:rsidR="003A0B1E" w:rsidRPr="003A0B1E" w:rsidRDefault="003A0B1E" w:rsidP="003A0B1E">
            <w:pPr>
              <w:jc w:val="both"/>
              <w:rPr>
                <w:rFonts w:asciiTheme="minorHAnsi" w:hAnsiTheme="minorHAnsi" w:cstheme="minorHAnsi"/>
                <w:sz w:val="20"/>
                <w:szCs w:val="20"/>
              </w:rPr>
            </w:pPr>
            <w:r w:rsidRPr="003A0B1E">
              <w:rPr>
                <w:rFonts w:asciiTheme="minorHAnsi" w:hAnsiTheme="minorHAnsi" w:cstheme="minorHAnsi"/>
                <w:sz w:val="20"/>
                <w:szCs w:val="20"/>
              </w:rPr>
              <w:t xml:space="preserve">Plan Rozwoju </w:t>
            </w:r>
            <w:proofErr w:type="spellStart"/>
            <w:r w:rsidRPr="003A0B1E">
              <w:rPr>
                <w:rFonts w:asciiTheme="minorHAnsi" w:hAnsiTheme="minorHAnsi" w:cstheme="minorHAnsi"/>
                <w:sz w:val="20"/>
                <w:szCs w:val="20"/>
              </w:rPr>
              <w:t>Elektromobilności</w:t>
            </w:r>
            <w:proofErr w:type="spellEnd"/>
            <w:r w:rsidRPr="003A0B1E">
              <w:rPr>
                <w:rFonts w:asciiTheme="minorHAnsi" w:hAnsiTheme="minorHAnsi" w:cstheme="minorHAnsi"/>
                <w:sz w:val="20"/>
                <w:szCs w:val="20"/>
              </w:rPr>
              <w:t xml:space="preserve"> – odpowiedzialne jest Ministerstwo Klimatu i Środowiska</w:t>
            </w:r>
          </w:p>
          <w:p w14:paraId="563F52AD" w14:textId="5B8E3C70" w:rsidR="003A0B1E" w:rsidRPr="005E10B6" w:rsidRDefault="003A0B1E" w:rsidP="003A0B1E">
            <w:pPr>
              <w:jc w:val="both"/>
              <w:rPr>
                <w:rFonts w:asciiTheme="minorHAnsi" w:hAnsiTheme="minorHAnsi" w:cstheme="minorHAnsi"/>
                <w:sz w:val="20"/>
                <w:szCs w:val="20"/>
              </w:rPr>
            </w:pPr>
            <w:r w:rsidRPr="003A0B1E">
              <w:rPr>
                <w:rFonts w:asciiTheme="minorHAnsi" w:hAnsiTheme="minorHAnsi" w:cstheme="minorHAnsi"/>
                <w:sz w:val="20"/>
                <w:szCs w:val="20"/>
              </w:rPr>
              <w:t>„https://www.gov.pl/web/klimat/elektromobilnosc-w-polsce”</w:t>
            </w:r>
          </w:p>
        </w:tc>
        <w:tc>
          <w:tcPr>
            <w:tcW w:w="1701" w:type="dxa"/>
          </w:tcPr>
          <w:p w14:paraId="5653A6DD" w14:textId="214C3547" w:rsidR="003A0B1E" w:rsidRDefault="003A0B1E" w:rsidP="00A87FF2">
            <w:pPr>
              <w:jc w:val="both"/>
              <w:rPr>
                <w:rFonts w:asciiTheme="minorHAnsi" w:hAnsiTheme="minorHAnsi" w:cstheme="minorHAnsi"/>
                <w:sz w:val="20"/>
                <w:szCs w:val="20"/>
              </w:rPr>
            </w:pPr>
            <w:r>
              <w:rPr>
                <w:rFonts w:asciiTheme="minorHAnsi" w:hAnsiTheme="minorHAnsi" w:cstheme="minorHAnsi"/>
                <w:sz w:val="20"/>
                <w:szCs w:val="20"/>
              </w:rPr>
              <w:t>uwzględniona</w:t>
            </w:r>
          </w:p>
        </w:tc>
        <w:tc>
          <w:tcPr>
            <w:tcW w:w="1900" w:type="dxa"/>
          </w:tcPr>
          <w:p w14:paraId="62355B54" w14:textId="4818FA8B" w:rsidR="003A0B1E" w:rsidRDefault="003A0B1E" w:rsidP="00A87FF2">
            <w:pPr>
              <w:jc w:val="both"/>
              <w:rPr>
                <w:rFonts w:asciiTheme="minorHAnsi" w:hAnsiTheme="minorHAnsi" w:cstheme="minorHAnsi"/>
                <w:sz w:val="20"/>
                <w:szCs w:val="20"/>
              </w:rPr>
            </w:pPr>
            <w:r w:rsidRPr="003A0B1E">
              <w:rPr>
                <w:rFonts w:asciiTheme="minorHAnsi" w:hAnsiTheme="minorHAnsi" w:cstheme="minorHAnsi"/>
                <w:sz w:val="20"/>
                <w:szCs w:val="20"/>
              </w:rPr>
              <w:t>Zapisy programu zostały uzupełnione zgodnie z propozycją.</w:t>
            </w:r>
            <w:bookmarkStart w:id="0" w:name="_GoBack"/>
            <w:bookmarkEnd w:id="0"/>
          </w:p>
        </w:tc>
      </w:tr>
    </w:tbl>
    <w:p w14:paraId="052B0843" w14:textId="77777777" w:rsidR="00C64B1B" w:rsidRPr="00791BDB" w:rsidRDefault="00C64B1B" w:rsidP="00C64B1B">
      <w:pPr>
        <w:jc w:val="center"/>
        <w:rPr>
          <w:rFonts w:asciiTheme="minorHAnsi" w:hAnsiTheme="minorHAnsi" w:cstheme="minorHAnsi"/>
        </w:rPr>
      </w:pPr>
    </w:p>
    <w:sectPr w:rsidR="00C64B1B" w:rsidRPr="00791BDB" w:rsidSect="00A06425">
      <w:headerReference w:type="default" r:id="rId9"/>
      <w:pgSz w:w="16838" w:h="11906" w:orient="landscape"/>
      <w:pgMar w:top="720" w:right="720" w:bottom="720" w:left="720" w:header="709" w:footer="709"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41E9EE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43D094" w14:textId="77777777" w:rsidR="00435A99" w:rsidRDefault="00435A99" w:rsidP="00877A97">
      <w:r>
        <w:separator/>
      </w:r>
    </w:p>
  </w:endnote>
  <w:endnote w:type="continuationSeparator" w:id="0">
    <w:p w14:paraId="4BFA0A54" w14:textId="77777777" w:rsidR="00435A99" w:rsidRDefault="00435A99" w:rsidP="00877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DE49C6" w14:textId="77777777" w:rsidR="00435A99" w:rsidRDefault="00435A99" w:rsidP="00877A97">
      <w:r>
        <w:separator/>
      </w:r>
    </w:p>
  </w:footnote>
  <w:footnote w:type="continuationSeparator" w:id="0">
    <w:p w14:paraId="56F1C047" w14:textId="77777777" w:rsidR="00435A99" w:rsidRDefault="00435A99" w:rsidP="00877A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C1386A" w14:textId="77777777" w:rsidR="00877A97" w:rsidRPr="00C3532F" w:rsidRDefault="00877A97" w:rsidP="00877A97">
    <w:pPr>
      <w:pStyle w:val="Nagwek"/>
      <w:jc w:val="center"/>
      <w:rPr>
        <w:b/>
      </w:rPr>
    </w:pPr>
    <w:r w:rsidRPr="00C3532F">
      <w:rPr>
        <w:b/>
      </w:rPr>
      <w:t>Uwagi wniesione na</w:t>
    </w:r>
    <w:r>
      <w:rPr>
        <w:b/>
      </w:rPr>
      <w:t xml:space="preserve"> KRMC</w:t>
    </w:r>
    <w:r w:rsidRPr="00C3532F">
      <w:t xml:space="preserve">  do projektu  programu </w:t>
    </w:r>
    <w:r w:rsidRPr="00C3532F">
      <w:rPr>
        <w:b/>
      </w:rPr>
      <w:t>Fundusze Europejskie dla Nowoczesnej Gospodarki 2021 – 2027</w:t>
    </w:r>
  </w:p>
  <w:p w14:paraId="6B9DFE8A" w14:textId="77777777" w:rsidR="00877A97" w:rsidRDefault="00877A9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E6F5B"/>
    <w:multiLevelType w:val="hybridMultilevel"/>
    <w:tmpl w:val="ABC2A13A"/>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nsid w:val="18C45407"/>
    <w:multiLevelType w:val="hybridMultilevel"/>
    <w:tmpl w:val="B75CF6B6"/>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4FBC202B"/>
    <w:multiLevelType w:val="hybridMultilevel"/>
    <w:tmpl w:val="CE3A2C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64D63AF8"/>
    <w:multiLevelType w:val="hybridMultilevel"/>
    <w:tmpl w:val="B75CF6B6"/>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7AB4305C"/>
    <w:multiLevelType w:val="multilevel"/>
    <w:tmpl w:val="B08A3B64"/>
    <w:lvl w:ilvl="0">
      <w:numFmt w:val="bullet"/>
      <w:lvlText w:val=""/>
      <w:lvlJc w:val="left"/>
      <w:pPr>
        <w:ind w:left="360" w:hanging="360"/>
      </w:pPr>
      <w:rPr>
        <w:rFonts w:ascii="Symbol" w:hAnsi="Symbol"/>
        <w:color w:val="auto"/>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4B1B"/>
    <w:rsid w:val="00034258"/>
    <w:rsid w:val="00066816"/>
    <w:rsid w:val="00091953"/>
    <w:rsid w:val="000977BE"/>
    <w:rsid w:val="000A0E95"/>
    <w:rsid w:val="000B6D5D"/>
    <w:rsid w:val="000B7270"/>
    <w:rsid w:val="000B763B"/>
    <w:rsid w:val="00127DE3"/>
    <w:rsid w:val="0013519E"/>
    <w:rsid w:val="00135372"/>
    <w:rsid w:val="00140BE8"/>
    <w:rsid w:val="001957CA"/>
    <w:rsid w:val="0019648E"/>
    <w:rsid w:val="001C437E"/>
    <w:rsid w:val="001F4962"/>
    <w:rsid w:val="00200CDF"/>
    <w:rsid w:val="00206D43"/>
    <w:rsid w:val="002715B2"/>
    <w:rsid w:val="002D33B8"/>
    <w:rsid w:val="002F2B34"/>
    <w:rsid w:val="00305978"/>
    <w:rsid w:val="003124D1"/>
    <w:rsid w:val="003270D7"/>
    <w:rsid w:val="00336319"/>
    <w:rsid w:val="00337782"/>
    <w:rsid w:val="003701A8"/>
    <w:rsid w:val="003A0B1E"/>
    <w:rsid w:val="003B3332"/>
    <w:rsid w:val="003B4105"/>
    <w:rsid w:val="003B46EC"/>
    <w:rsid w:val="003F123D"/>
    <w:rsid w:val="004072B6"/>
    <w:rsid w:val="00435A99"/>
    <w:rsid w:val="00461930"/>
    <w:rsid w:val="0048745F"/>
    <w:rsid w:val="004D086F"/>
    <w:rsid w:val="004E0927"/>
    <w:rsid w:val="0051268A"/>
    <w:rsid w:val="005576A6"/>
    <w:rsid w:val="00560622"/>
    <w:rsid w:val="0056087D"/>
    <w:rsid w:val="00595143"/>
    <w:rsid w:val="005D5BB5"/>
    <w:rsid w:val="005E10B6"/>
    <w:rsid w:val="005F6527"/>
    <w:rsid w:val="00631D73"/>
    <w:rsid w:val="006705EC"/>
    <w:rsid w:val="0069710F"/>
    <w:rsid w:val="006B5CA3"/>
    <w:rsid w:val="006E16E9"/>
    <w:rsid w:val="00710A8A"/>
    <w:rsid w:val="00734792"/>
    <w:rsid w:val="00791BDB"/>
    <w:rsid w:val="007A0B86"/>
    <w:rsid w:val="007A57C5"/>
    <w:rsid w:val="00807385"/>
    <w:rsid w:val="00817DB9"/>
    <w:rsid w:val="00877A97"/>
    <w:rsid w:val="00882A93"/>
    <w:rsid w:val="008F36EA"/>
    <w:rsid w:val="00901F1F"/>
    <w:rsid w:val="00944932"/>
    <w:rsid w:val="0095289B"/>
    <w:rsid w:val="009A0203"/>
    <w:rsid w:val="009B47DF"/>
    <w:rsid w:val="009D006C"/>
    <w:rsid w:val="009E5FDB"/>
    <w:rsid w:val="009F4F9B"/>
    <w:rsid w:val="00A06425"/>
    <w:rsid w:val="00A2144C"/>
    <w:rsid w:val="00A713AF"/>
    <w:rsid w:val="00A87FF2"/>
    <w:rsid w:val="00A96562"/>
    <w:rsid w:val="00AB162E"/>
    <w:rsid w:val="00AC7796"/>
    <w:rsid w:val="00AD0C0D"/>
    <w:rsid w:val="00B14A85"/>
    <w:rsid w:val="00B66E0C"/>
    <w:rsid w:val="00B834DC"/>
    <w:rsid w:val="00B871B6"/>
    <w:rsid w:val="00B95E06"/>
    <w:rsid w:val="00BC43CA"/>
    <w:rsid w:val="00BE5959"/>
    <w:rsid w:val="00C0306C"/>
    <w:rsid w:val="00C05DEA"/>
    <w:rsid w:val="00C10943"/>
    <w:rsid w:val="00C23E5F"/>
    <w:rsid w:val="00C35D49"/>
    <w:rsid w:val="00C5697E"/>
    <w:rsid w:val="00C64B1B"/>
    <w:rsid w:val="00C93B06"/>
    <w:rsid w:val="00CA491D"/>
    <w:rsid w:val="00CD5EB0"/>
    <w:rsid w:val="00CF6DBF"/>
    <w:rsid w:val="00D1733C"/>
    <w:rsid w:val="00D32135"/>
    <w:rsid w:val="00D34AD5"/>
    <w:rsid w:val="00D42B94"/>
    <w:rsid w:val="00D644B9"/>
    <w:rsid w:val="00D9079F"/>
    <w:rsid w:val="00DD331D"/>
    <w:rsid w:val="00E14C33"/>
    <w:rsid w:val="00E24A2A"/>
    <w:rsid w:val="00E435FB"/>
    <w:rsid w:val="00E90133"/>
    <w:rsid w:val="00ED58A4"/>
    <w:rsid w:val="00FA39E5"/>
    <w:rsid w:val="00FC481B"/>
    <w:rsid w:val="00FD2E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BB40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sz w:val="24"/>
      <w:szCs w:val="24"/>
    </w:rPr>
  </w:style>
  <w:style w:type="paragraph" w:styleId="Nagwek1">
    <w:name w:val="heading 1"/>
    <w:basedOn w:val="Normalny"/>
    <w:next w:val="Normalny"/>
    <w:link w:val="Nagwek1Znak"/>
    <w:qFormat/>
    <w:rsid w:val="003701A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Akapitzlist">
    <w:name w:val="List Paragraph"/>
    <w:basedOn w:val="Normalny"/>
    <w:uiPriority w:val="34"/>
    <w:qFormat/>
    <w:rsid w:val="00E24A2A"/>
    <w:pPr>
      <w:ind w:left="720"/>
      <w:contextualSpacing/>
    </w:pPr>
  </w:style>
  <w:style w:type="character" w:customStyle="1" w:styleId="Nagwek1Znak">
    <w:name w:val="Nagłówek 1 Znak"/>
    <w:basedOn w:val="Domylnaczcionkaakapitu"/>
    <w:link w:val="Nagwek1"/>
    <w:rsid w:val="003701A8"/>
    <w:rPr>
      <w:rFonts w:asciiTheme="majorHAnsi" w:eastAsiaTheme="majorEastAsia" w:hAnsiTheme="majorHAnsi" w:cstheme="majorBidi"/>
      <w:color w:val="2E74B5" w:themeColor="accent1" w:themeShade="BF"/>
      <w:sz w:val="32"/>
      <w:szCs w:val="32"/>
    </w:rPr>
  </w:style>
  <w:style w:type="paragraph" w:styleId="Nagwek">
    <w:name w:val="header"/>
    <w:basedOn w:val="Normalny"/>
    <w:link w:val="NagwekZnak"/>
    <w:uiPriority w:val="99"/>
    <w:rsid w:val="00877A97"/>
    <w:pPr>
      <w:tabs>
        <w:tab w:val="center" w:pos="4536"/>
        <w:tab w:val="right" w:pos="9072"/>
      </w:tabs>
    </w:pPr>
  </w:style>
  <w:style w:type="character" w:customStyle="1" w:styleId="NagwekZnak">
    <w:name w:val="Nagłówek Znak"/>
    <w:basedOn w:val="Domylnaczcionkaakapitu"/>
    <w:link w:val="Nagwek"/>
    <w:uiPriority w:val="99"/>
    <w:rsid w:val="00877A97"/>
    <w:rPr>
      <w:sz w:val="24"/>
      <w:szCs w:val="24"/>
    </w:rPr>
  </w:style>
  <w:style w:type="paragraph" w:styleId="Stopka">
    <w:name w:val="footer"/>
    <w:basedOn w:val="Normalny"/>
    <w:link w:val="StopkaZnak"/>
    <w:rsid w:val="00877A97"/>
    <w:pPr>
      <w:tabs>
        <w:tab w:val="center" w:pos="4536"/>
        <w:tab w:val="right" w:pos="9072"/>
      </w:tabs>
    </w:pPr>
  </w:style>
  <w:style w:type="character" w:customStyle="1" w:styleId="StopkaZnak">
    <w:name w:val="Stopka Znak"/>
    <w:basedOn w:val="Domylnaczcionkaakapitu"/>
    <w:link w:val="Stopka"/>
    <w:rsid w:val="00877A97"/>
    <w:rPr>
      <w:sz w:val="24"/>
      <w:szCs w:val="24"/>
    </w:rPr>
  </w:style>
  <w:style w:type="character" w:styleId="Odwoaniedokomentarza">
    <w:name w:val="annotation reference"/>
    <w:basedOn w:val="Domylnaczcionkaakapitu"/>
    <w:rsid w:val="005D5BB5"/>
    <w:rPr>
      <w:sz w:val="16"/>
      <w:szCs w:val="16"/>
    </w:rPr>
  </w:style>
  <w:style w:type="paragraph" w:styleId="Tekstkomentarza">
    <w:name w:val="annotation text"/>
    <w:basedOn w:val="Normalny"/>
    <w:link w:val="TekstkomentarzaZnak"/>
    <w:rsid w:val="005D5BB5"/>
    <w:rPr>
      <w:sz w:val="20"/>
      <w:szCs w:val="20"/>
    </w:rPr>
  </w:style>
  <w:style w:type="character" w:customStyle="1" w:styleId="TekstkomentarzaZnak">
    <w:name w:val="Tekst komentarza Znak"/>
    <w:basedOn w:val="Domylnaczcionkaakapitu"/>
    <w:link w:val="Tekstkomentarza"/>
    <w:rsid w:val="005D5BB5"/>
  </w:style>
  <w:style w:type="paragraph" w:styleId="Tematkomentarza">
    <w:name w:val="annotation subject"/>
    <w:basedOn w:val="Tekstkomentarza"/>
    <w:next w:val="Tekstkomentarza"/>
    <w:link w:val="TematkomentarzaZnak"/>
    <w:rsid w:val="005D5BB5"/>
    <w:rPr>
      <w:b/>
      <w:bCs/>
    </w:rPr>
  </w:style>
  <w:style w:type="character" w:customStyle="1" w:styleId="TematkomentarzaZnak">
    <w:name w:val="Temat komentarza Znak"/>
    <w:basedOn w:val="TekstkomentarzaZnak"/>
    <w:link w:val="Tematkomentarza"/>
    <w:rsid w:val="005D5BB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Pr>
      <w:sz w:val="24"/>
      <w:szCs w:val="24"/>
    </w:rPr>
  </w:style>
  <w:style w:type="paragraph" w:styleId="Nagwek1">
    <w:name w:val="heading 1"/>
    <w:basedOn w:val="Normalny"/>
    <w:next w:val="Normalny"/>
    <w:link w:val="Nagwek1Znak"/>
    <w:qFormat/>
    <w:rsid w:val="003701A8"/>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 w:type="paragraph" w:styleId="Akapitzlist">
    <w:name w:val="List Paragraph"/>
    <w:basedOn w:val="Normalny"/>
    <w:uiPriority w:val="34"/>
    <w:qFormat/>
    <w:rsid w:val="00E24A2A"/>
    <w:pPr>
      <w:ind w:left="720"/>
      <w:contextualSpacing/>
    </w:pPr>
  </w:style>
  <w:style w:type="character" w:customStyle="1" w:styleId="Nagwek1Znak">
    <w:name w:val="Nagłówek 1 Znak"/>
    <w:basedOn w:val="Domylnaczcionkaakapitu"/>
    <w:link w:val="Nagwek1"/>
    <w:rsid w:val="003701A8"/>
    <w:rPr>
      <w:rFonts w:asciiTheme="majorHAnsi" w:eastAsiaTheme="majorEastAsia" w:hAnsiTheme="majorHAnsi" w:cstheme="majorBidi"/>
      <w:color w:val="2E74B5" w:themeColor="accent1" w:themeShade="BF"/>
      <w:sz w:val="32"/>
      <w:szCs w:val="32"/>
    </w:rPr>
  </w:style>
  <w:style w:type="paragraph" w:styleId="Nagwek">
    <w:name w:val="header"/>
    <w:basedOn w:val="Normalny"/>
    <w:link w:val="NagwekZnak"/>
    <w:uiPriority w:val="99"/>
    <w:rsid w:val="00877A97"/>
    <w:pPr>
      <w:tabs>
        <w:tab w:val="center" w:pos="4536"/>
        <w:tab w:val="right" w:pos="9072"/>
      </w:tabs>
    </w:pPr>
  </w:style>
  <w:style w:type="character" w:customStyle="1" w:styleId="NagwekZnak">
    <w:name w:val="Nagłówek Znak"/>
    <w:basedOn w:val="Domylnaczcionkaakapitu"/>
    <w:link w:val="Nagwek"/>
    <w:uiPriority w:val="99"/>
    <w:rsid w:val="00877A97"/>
    <w:rPr>
      <w:sz w:val="24"/>
      <w:szCs w:val="24"/>
    </w:rPr>
  </w:style>
  <w:style w:type="paragraph" w:styleId="Stopka">
    <w:name w:val="footer"/>
    <w:basedOn w:val="Normalny"/>
    <w:link w:val="StopkaZnak"/>
    <w:rsid w:val="00877A97"/>
    <w:pPr>
      <w:tabs>
        <w:tab w:val="center" w:pos="4536"/>
        <w:tab w:val="right" w:pos="9072"/>
      </w:tabs>
    </w:pPr>
  </w:style>
  <w:style w:type="character" w:customStyle="1" w:styleId="StopkaZnak">
    <w:name w:val="Stopka Znak"/>
    <w:basedOn w:val="Domylnaczcionkaakapitu"/>
    <w:link w:val="Stopka"/>
    <w:rsid w:val="00877A97"/>
    <w:rPr>
      <w:sz w:val="24"/>
      <w:szCs w:val="24"/>
    </w:rPr>
  </w:style>
  <w:style w:type="character" w:styleId="Odwoaniedokomentarza">
    <w:name w:val="annotation reference"/>
    <w:basedOn w:val="Domylnaczcionkaakapitu"/>
    <w:rsid w:val="005D5BB5"/>
    <w:rPr>
      <w:sz w:val="16"/>
      <w:szCs w:val="16"/>
    </w:rPr>
  </w:style>
  <w:style w:type="paragraph" w:styleId="Tekstkomentarza">
    <w:name w:val="annotation text"/>
    <w:basedOn w:val="Normalny"/>
    <w:link w:val="TekstkomentarzaZnak"/>
    <w:rsid w:val="005D5BB5"/>
    <w:rPr>
      <w:sz w:val="20"/>
      <w:szCs w:val="20"/>
    </w:rPr>
  </w:style>
  <w:style w:type="character" w:customStyle="1" w:styleId="TekstkomentarzaZnak">
    <w:name w:val="Tekst komentarza Znak"/>
    <w:basedOn w:val="Domylnaczcionkaakapitu"/>
    <w:link w:val="Tekstkomentarza"/>
    <w:rsid w:val="005D5BB5"/>
  </w:style>
  <w:style w:type="paragraph" w:styleId="Tematkomentarza">
    <w:name w:val="annotation subject"/>
    <w:basedOn w:val="Tekstkomentarza"/>
    <w:next w:val="Tekstkomentarza"/>
    <w:link w:val="TematkomentarzaZnak"/>
    <w:rsid w:val="005D5BB5"/>
    <w:rPr>
      <w:b/>
      <w:bCs/>
    </w:rPr>
  </w:style>
  <w:style w:type="character" w:customStyle="1" w:styleId="TematkomentarzaZnak">
    <w:name w:val="Temat komentarza Znak"/>
    <w:basedOn w:val="TekstkomentarzaZnak"/>
    <w:link w:val="Tematkomentarza"/>
    <w:rsid w:val="005D5BB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7530787">
      <w:bodyDiv w:val="1"/>
      <w:marLeft w:val="0"/>
      <w:marRight w:val="0"/>
      <w:marTop w:val="0"/>
      <w:marBottom w:val="0"/>
      <w:divBdr>
        <w:top w:val="none" w:sz="0" w:space="0" w:color="auto"/>
        <w:left w:val="none" w:sz="0" w:space="0" w:color="auto"/>
        <w:bottom w:val="none" w:sz="0" w:space="0" w:color="auto"/>
        <w:right w:val="none" w:sz="0" w:space="0" w:color="auto"/>
      </w:divBdr>
    </w:div>
    <w:div w:id="1942645480">
      <w:bodyDiv w:val="1"/>
      <w:marLeft w:val="0"/>
      <w:marRight w:val="0"/>
      <w:marTop w:val="0"/>
      <w:marBottom w:val="0"/>
      <w:divBdr>
        <w:top w:val="none" w:sz="0" w:space="0" w:color="auto"/>
        <w:left w:val="none" w:sz="0" w:space="0" w:color="auto"/>
        <w:bottom w:val="none" w:sz="0" w:space="0" w:color="auto"/>
        <w:right w:val="none" w:sz="0" w:space="0" w:color="auto"/>
      </w:divBdr>
    </w:div>
    <w:div w:id="1974407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8BA8FAA4-E1A5-4364-A832-DEA38BC4D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16</Pages>
  <Words>4925</Words>
  <Characters>29550</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34407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BAF</dc:creator>
  <cp:lastModifiedBy>Lukasz Malecki</cp:lastModifiedBy>
  <cp:revision>7</cp:revision>
  <dcterms:created xsi:type="dcterms:W3CDTF">2021-09-22T17:54:00Z</dcterms:created>
  <dcterms:modified xsi:type="dcterms:W3CDTF">2021-09-24T08:43:00Z</dcterms:modified>
</cp:coreProperties>
</file>